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hint="eastAsia" w:ascii="方正小标宋简体" w:hAnsi="方正小标宋简体" w:eastAsia="方正小标宋简体" w:cs="方正小标宋简体"/>
          <w:color w:val="auto"/>
          <w:sz w:val="40"/>
          <w:szCs w:val="40"/>
          <w:highlight w:val="none"/>
        </w:rPr>
      </w:pPr>
      <w:r>
        <w:rPr>
          <w:rFonts w:hint="eastAsia" w:ascii="方正小标宋简体" w:hAnsi="方正小标宋简体" w:eastAsia="方正小标宋简体" w:cs="方正小标宋简体"/>
          <w:color w:val="auto"/>
          <w:sz w:val="40"/>
          <w:szCs w:val="40"/>
          <w:highlight w:val="none"/>
        </w:rPr>
        <w:t>华南农业大学材料与能源学院</w:t>
      </w:r>
    </w:p>
    <w:p>
      <w:pPr>
        <w:spacing w:line="640" w:lineRule="exact"/>
        <w:jc w:val="center"/>
        <w:rPr>
          <w:rFonts w:hint="eastAsia" w:ascii="方正小标宋简体" w:hAnsi="方正小标宋简体" w:eastAsia="方正小标宋简体" w:cs="方正小标宋简体"/>
          <w:color w:val="auto"/>
          <w:sz w:val="40"/>
          <w:szCs w:val="40"/>
          <w:highlight w:val="none"/>
          <w:lang w:eastAsia="zh-CN"/>
        </w:rPr>
      </w:pPr>
      <w:r>
        <w:rPr>
          <w:rFonts w:hint="eastAsia" w:ascii="方正小标宋简体" w:hAnsi="方正小标宋简体" w:eastAsia="方正小标宋简体" w:cs="方正小标宋简体"/>
          <w:color w:val="auto"/>
          <w:sz w:val="40"/>
          <w:szCs w:val="40"/>
          <w:highlight w:val="none"/>
        </w:rPr>
        <w:t>研究生学业奖学金评选</w:t>
      </w:r>
      <w:r>
        <w:rPr>
          <w:rFonts w:hint="eastAsia" w:ascii="方正小标宋简体" w:hAnsi="方正小标宋简体" w:eastAsia="方正小标宋简体" w:cs="方正小标宋简体"/>
          <w:color w:val="auto"/>
          <w:sz w:val="40"/>
          <w:szCs w:val="40"/>
          <w:highlight w:val="none"/>
          <w:lang w:val="en-US" w:eastAsia="zh-CN"/>
        </w:rPr>
        <w:t>实施</w:t>
      </w:r>
      <w:r>
        <w:rPr>
          <w:rFonts w:hint="eastAsia" w:ascii="方正小标宋简体" w:hAnsi="方正小标宋简体" w:eastAsia="方正小标宋简体" w:cs="方正小标宋简体"/>
          <w:color w:val="auto"/>
          <w:sz w:val="40"/>
          <w:szCs w:val="40"/>
          <w:highlight w:val="none"/>
        </w:rPr>
        <w:t>办法</w:t>
      </w:r>
      <w:r>
        <w:rPr>
          <w:rFonts w:hint="eastAsia" w:ascii="方正小标宋简体" w:hAnsi="方正小标宋简体" w:eastAsia="方正小标宋简体" w:cs="方正小标宋简体"/>
          <w:color w:val="auto"/>
          <w:sz w:val="40"/>
          <w:szCs w:val="40"/>
          <w:highlight w:val="none"/>
          <w:lang w:eastAsia="zh-CN"/>
        </w:rPr>
        <w:t>（</w:t>
      </w:r>
      <w:r>
        <w:rPr>
          <w:rFonts w:hint="eastAsia" w:ascii="方正小标宋简体" w:hAnsi="方正小标宋简体" w:eastAsia="方正小标宋简体" w:cs="方正小标宋简体"/>
          <w:color w:val="auto"/>
          <w:sz w:val="40"/>
          <w:szCs w:val="40"/>
          <w:highlight w:val="none"/>
          <w:lang w:val="en-US" w:eastAsia="zh-CN"/>
        </w:rPr>
        <w:t>2023年版</w:t>
      </w:r>
      <w:r>
        <w:rPr>
          <w:rFonts w:hint="eastAsia" w:ascii="方正小标宋简体" w:hAnsi="方正小标宋简体" w:eastAsia="方正小标宋简体" w:cs="方正小标宋简体"/>
          <w:color w:val="auto"/>
          <w:sz w:val="40"/>
          <w:szCs w:val="40"/>
          <w:highlight w:val="none"/>
          <w:lang w:eastAsia="zh-CN"/>
        </w:rPr>
        <w:t>）</w:t>
      </w:r>
    </w:p>
    <w:p>
      <w:pPr>
        <w:spacing w:line="560" w:lineRule="exact"/>
        <w:ind w:firstLine="560" w:firstLineChars="200"/>
        <w:rPr>
          <w:rFonts w:hint="eastAsia" w:ascii="仿宋_GB2312" w:hAnsi="仿宋_GB2312" w:eastAsia="仿宋_GB2312" w:cs="仿宋_GB2312"/>
          <w:color w:val="auto"/>
          <w:sz w:val="28"/>
          <w:szCs w:val="28"/>
          <w:highlight w:val="none"/>
        </w:rPr>
      </w:pPr>
    </w:p>
    <w:p>
      <w:pPr>
        <w:spacing w:line="560" w:lineRule="exact"/>
        <w:jc w:val="center"/>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第一章  总则</w:t>
      </w:r>
    </w:p>
    <w:p>
      <w:pPr>
        <w:spacing w:line="560" w:lineRule="exact"/>
        <w:ind w:firstLine="562"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lang w:val="en-US" w:eastAsia="zh-CN"/>
        </w:rPr>
        <w:t>第一条</w:t>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rPr>
        <w:t>为激励研究生勤奋学习、潜心科研、勇于创新、积极进取，全面提高我校研究生的培养质量，根据《华南农业大学学术论文评价方案（试行）》（华南农办〔2021〕27号）</w:t>
      </w:r>
      <w:r>
        <w:rPr>
          <w:rFonts w:hint="eastAsia" w:ascii="仿宋_GB2312" w:hAnsi="仿宋_GB2312" w:eastAsia="仿宋_GB2312" w:cs="仿宋_GB2312"/>
          <w:color w:val="auto"/>
          <w:sz w:val="28"/>
          <w:szCs w:val="28"/>
          <w:highlight w:val="none"/>
          <w:lang w:eastAsia="zh-CN"/>
        </w:rPr>
        <w:t>、《华南农业大学研究生国家奖助学金实施办法》</w:t>
      </w:r>
      <w:r>
        <w:rPr>
          <w:rFonts w:hint="eastAsia" w:ascii="仿宋_GB2312" w:hAnsi="仿宋_GB2312" w:eastAsia="仿宋_GB2312" w:cs="仿宋_GB2312"/>
          <w:color w:val="auto"/>
          <w:sz w:val="28"/>
          <w:szCs w:val="28"/>
          <w:highlight w:val="none"/>
        </w:rPr>
        <w:t>（华南农办〔2021〕</w:t>
      </w:r>
      <w:r>
        <w:rPr>
          <w:rFonts w:hint="eastAsia" w:ascii="仿宋_GB2312" w:hAnsi="仿宋_GB2312" w:eastAsia="仿宋_GB2312" w:cs="仿宋_GB2312"/>
          <w:color w:val="auto"/>
          <w:sz w:val="28"/>
          <w:szCs w:val="28"/>
          <w:highlight w:val="none"/>
          <w:lang w:val="en-US" w:eastAsia="zh-CN"/>
        </w:rPr>
        <w:t>35</w:t>
      </w:r>
      <w:r>
        <w:rPr>
          <w:rFonts w:hint="eastAsia" w:ascii="仿宋_GB2312" w:hAnsi="仿宋_GB2312" w:eastAsia="仿宋_GB2312" w:cs="仿宋_GB2312"/>
          <w:color w:val="auto"/>
          <w:sz w:val="28"/>
          <w:szCs w:val="28"/>
          <w:highlight w:val="none"/>
        </w:rPr>
        <w:t>号</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《华南农业大学研究生国家奖助学金实施办法》华农党发〔2022〕53号</w:t>
      </w: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kern w:val="0"/>
          <w:sz w:val="28"/>
          <w:szCs w:val="28"/>
          <w:highlight w:val="none"/>
          <w:lang w:val="en-US" w:eastAsia="zh-CN"/>
        </w:rPr>
        <w:t>《华南农业大学学生竞赛奖励办法》（华南农办〔2022〕38 号）</w:t>
      </w:r>
      <w:r>
        <w:rPr>
          <w:rFonts w:hint="eastAsia" w:ascii="仿宋_GB2312" w:hAnsi="仿宋_GB2312" w:eastAsia="仿宋_GB2312" w:cs="仿宋_GB2312"/>
          <w:color w:val="auto"/>
          <w:sz w:val="28"/>
          <w:szCs w:val="28"/>
          <w:highlight w:val="none"/>
        </w:rPr>
        <w:t>等文件精神，结合我院实际，制定本办法。</w:t>
      </w:r>
    </w:p>
    <w:p>
      <w:pPr>
        <w:spacing w:line="560" w:lineRule="exact"/>
        <w:ind w:firstLine="560" w:firstLineChars="200"/>
        <w:rPr>
          <w:rFonts w:hint="eastAsia" w:ascii="仿宋_GB2312" w:hAnsi="仿宋_GB2312" w:eastAsia="仿宋_GB2312" w:cs="仿宋_GB2312"/>
          <w:color w:val="auto"/>
          <w:sz w:val="28"/>
          <w:szCs w:val="28"/>
          <w:highlight w:val="none"/>
        </w:rPr>
      </w:pPr>
    </w:p>
    <w:p>
      <w:pPr>
        <w:spacing w:line="560" w:lineRule="exact"/>
        <w:jc w:val="center"/>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32"/>
          <w:szCs w:val="32"/>
          <w:highlight w:val="none"/>
          <w:lang w:val="en-US" w:eastAsia="zh-CN"/>
        </w:rPr>
        <w:t>第二章  评选比例、名额分配</w:t>
      </w:r>
    </w:p>
    <w:p>
      <w:pPr>
        <w:spacing w:line="560" w:lineRule="exact"/>
        <w:ind w:firstLine="562"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lang w:val="en-US" w:eastAsia="zh-CN"/>
        </w:rPr>
        <w:t xml:space="preserve">第二条  </w:t>
      </w:r>
      <w:r>
        <w:rPr>
          <w:rFonts w:hint="eastAsia" w:ascii="仿宋_GB2312" w:hAnsi="仿宋_GB2312" w:eastAsia="仿宋_GB2312" w:cs="仿宋_GB2312"/>
          <w:color w:val="auto"/>
          <w:sz w:val="28"/>
          <w:szCs w:val="28"/>
          <w:highlight w:val="none"/>
        </w:rPr>
        <w:t>评选对象</w:t>
      </w:r>
    </w:p>
    <w:p>
      <w:pPr>
        <w:spacing w:line="56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为</w:t>
      </w:r>
      <w:r>
        <w:rPr>
          <w:rFonts w:hint="eastAsia" w:ascii="仿宋_GB2312" w:hAnsi="仿宋_GB2312" w:eastAsia="仿宋_GB2312" w:cs="仿宋_GB2312"/>
          <w:color w:val="auto"/>
          <w:sz w:val="28"/>
          <w:szCs w:val="28"/>
          <w:highlight w:val="none"/>
        </w:rPr>
        <w:t>我院</w:t>
      </w:r>
      <w:r>
        <w:rPr>
          <w:rFonts w:hint="eastAsia" w:ascii="仿宋_GB2312" w:hAnsi="仿宋_GB2312" w:eastAsia="仿宋_GB2312" w:cs="仿宋_GB2312"/>
          <w:color w:val="auto"/>
          <w:sz w:val="28"/>
          <w:szCs w:val="28"/>
          <w:highlight w:val="none"/>
          <w:lang w:val="en-US" w:eastAsia="zh-CN"/>
        </w:rPr>
        <w:t>正常学制年限内</w:t>
      </w:r>
      <w:r>
        <w:rPr>
          <w:rFonts w:hint="eastAsia" w:ascii="仿宋_GB2312" w:hAnsi="仿宋_GB2312" w:eastAsia="仿宋_GB2312" w:cs="仿宋_GB2312"/>
          <w:color w:val="auto"/>
          <w:sz w:val="28"/>
          <w:szCs w:val="28"/>
          <w:highlight w:val="none"/>
        </w:rPr>
        <w:t>全日制</w:t>
      </w:r>
      <w:r>
        <w:rPr>
          <w:rFonts w:hint="eastAsia" w:ascii="仿宋_GB2312" w:hAnsi="仿宋_GB2312" w:eastAsia="仿宋_GB2312" w:cs="仿宋_GB2312"/>
          <w:color w:val="auto"/>
          <w:sz w:val="28"/>
          <w:szCs w:val="28"/>
          <w:highlight w:val="none"/>
          <w:lang w:val="en-US" w:eastAsia="zh-CN"/>
        </w:rPr>
        <w:t>在读</w:t>
      </w:r>
      <w:r>
        <w:rPr>
          <w:rFonts w:hint="eastAsia" w:ascii="仿宋_GB2312" w:hAnsi="仿宋_GB2312" w:eastAsia="仿宋_GB2312" w:cs="仿宋_GB2312"/>
          <w:color w:val="auto"/>
          <w:sz w:val="28"/>
          <w:szCs w:val="28"/>
          <w:highlight w:val="none"/>
        </w:rPr>
        <w:t>研究生（外国留学生、港澳台学生除外）。</w:t>
      </w:r>
    </w:p>
    <w:p>
      <w:pPr>
        <w:spacing w:line="560" w:lineRule="exact"/>
        <w:ind w:firstLine="562"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lang w:val="en-US" w:eastAsia="zh-CN"/>
        </w:rPr>
        <w:t>第三条</w:t>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rPr>
        <w:t>评选时间</w:t>
      </w:r>
    </w:p>
    <w:p>
      <w:pPr>
        <w:spacing w:line="56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研究生学业奖学金每年评审一次，在每年九月份进行。</w:t>
      </w:r>
    </w:p>
    <w:p>
      <w:pPr>
        <w:spacing w:line="560" w:lineRule="exact"/>
        <w:ind w:firstLine="562"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lang w:val="en-US" w:eastAsia="zh-CN"/>
        </w:rPr>
        <w:t>第四条</w:t>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rPr>
        <w:t>奖励比例、标准与名额分配</w:t>
      </w:r>
    </w:p>
    <w:p>
      <w:pPr>
        <w:spacing w:line="56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1.研究生学业奖学金分为博士研究生学业奖学金和硕士研究生学业奖学金，分别设置一、二、三等奖。</w:t>
      </w:r>
    </w:p>
    <w:p>
      <w:pPr>
        <w:spacing w:line="56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2.非定向研究生享受学业奖学金荣誉和奖金奖励，定向研究生仅享受荣誉。</w:t>
      </w:r>
    </w:p>
    <w:p>
      <w:pPr>
        <w:spacing w:line="560" w:lineRule="exact"/>
        <w:ind w:firstLine="560" w:firstLineChars="200"/>
        <w:rPr>
          <w:rFonts w:hint="default"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rPr>
        <w:t>3.非定向研究生的奖学金类别、等级、比例与奖励标准</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奖励等级、比例、标准来自《华南农业大学研究生国家奖助学金实施办法》华农党发〔2021〕35号、《华南农业大学研究生国家奖助学金实施办法》华农党发〔2022〕53号</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2021级及以前研究生学业奖学金获奖一二三等奖比例分别为</w:t>
      </w:r>
      <w:r>
        <w:rPr>
          <w:rFonts w:hint="eastAsia" w:ascii="仿宋_GB2312" w:hAnsi="仿宋_GB2312" w:eastAsia="仿宋_GB2312" w:cs="仿宋_GB2312"/>
          <w:color w:val="auto"/>
          <w:spacing w:val="-4"/>
          <w:sz w:val="28"/>
          <w:szCs w:val="28"/>
          <w:lang w:val="zh-CN"/>
        </w:rPr>
        <w:t>20%、</w:t>
      </w:r>
      <w:r>
        <w:rPr>
          <w:rFonts w:hint="eastAsia" w:ascii="仿宋_GB2312" w:hAnsi="仿宋_GB2312" w:eastAsia="仿宋_GB2312" w:cs="仿宋_GB2312"/>
          <w:color w:val="auto"/>
          <w:spacing w:val="-4"/>
          <w:sz w:val="28"/>
          <w:szCs w:val="28"/>
          <w:lang w:val="en-US" w:eastAsia="zh-CN"/>
        </w:rPr>
        <w:t>5</w:t>
      </w:r>
      <w:r>
        <w:rPr>
          <w:rFonts w:hint="eastAsia" w:ascii="仿宋_GB2312" w:hAnsi="仿宋_GB2312" w:eastAsia="仿宋_GB2312" w:cs="仿宋_GB2312"/>
          <w:color w:val="auto"/>
          <w:spacing w:val="-4"/>
          <w:sz w:val="28"/>
          <w:szCs w:val="28"/>
          <w:lang w:val="zh-CN"/>
        </w:rPr>
        <w:t>0%、</w:t>
      </w:r>
      <w:r>
        <w:rPr>
          <w:rFonts w:hint="eastAsia" w:ascii="仿宋_GB2312" w:hAnsi="仿宋_GB2312" w:eastAsia="仿宋_GB2312" w:cs="仿宋_GB2312"/>
          <w:color w:val="auto"/>
          <w:spacing w:val="-4"/>
          <w:sz w:val="28"/>
          <w:szCs w:val="28"/>
          <w:lang w:val="en-US" w:eastAsia="zh-CN"/>
        </w:rPr>
        <w:t>3</w:t>
      </w:r>
      <w:r>
        <w:rPr>
          <w:rFonts w:hint="eastAsia" w:ascii="仿宋_GB2312" w:hAnsi="仿宋_GB2312" w:eastAsia="仿宋_GB2312" w:cs="仿宋_GB2312"/>
          <w:color w:val="auto"/>
          <w:spacing w:val="-4"/>
          <w:sz w:val="28"/>
          <w:szCs w:val="28"/>
          <w:lang w:val="zh-CN"/>
        </w:rPr>
        <w:t>0%，</w:t>
      </w:r>
      <w:r>
        <w:rPr>
          <w:rFonts w:hint="eastAsia" w:ascii="仿宋_GB2312" w:hAnsi="仿宋_GB2312" w:eastAsia="仿宋_GB2312" w:cs="仿宋_GB2312"/>
          <w:color w:val="auto"/>
          <w:spacing w:val="-4"/>
          <w:sz w:val="28"/>
          <w:szCs w:val="28"/>
          <w:lang w:val="en-US" w:eastAsia="zh-CN"/>
        </w:rPr>
        <w:t>奖励金额标准一致</w:t>
      </w:r>
      <w:r>
        <w:rPr>
          <w:rFonts w:hint="eastAsia" w:ascii="仿宋_GB2312" w:hAnsi="仿宋_GB2312" w:eastAsia="仿宋_GB2312" w:cs="仿宋_GB2312"/>
          <w:color w:val="auto"/>
          <w:spacing w:val="-4"/>
          <w:sz w:val="28"/>
          <w:szCs w:val="28"/>
          <w:lang w:val="zh-CN"/>
        </w:rPr>
        <w:t>。</w:t>
      </w:r>
    </w:p>
    <w:p>
      <w:pPr>
        <w:spacing w:line="56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2022级及以后研究生按以下标准执行：</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90"/>
        <w:gridCol w:w="1650"/>
        <w:gridCol w:w="1486"/>
        <w:gridCol w:w="20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90"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_GB2312" w:hAnsi="仿宋_GB2312" w:eastAsia="仿宋_GB2312" w:cs="仿宋_GB2312"/>
                <w:b/>
                <w:color w:val="auto"/>
                <w:spacing w:val="-4"/>
                <w:sz w:val="28"/>
                <w:szCs w:val="28"/>
              </w:rPr>
            </w:pPr>
            <w:r>
              <w:rPr>
                <w:rFonts w:hint="eastAsia" w:ascii="仿宋_GB2312" w:hAnsi="仿宋_GB2312" w:eastAsia="仿宋_GB2312" w:cs="仿宋_GB2312"/>
                <w:b/>
                <w:color w:val="auto"/>
                <w:spacing w:val="-4"/>
                <w:sz w:val="28"/>
                <w:szCs w:val="28"/>
                <w:lang w:val="zh-CN"/>
              </w:rPr>
              <w:t>类别</w:t>
            </w:r>
          </w:p>
        </w:tc>
        <w:tc>
          <w:tcPr>
            <w:tcW w:w="1650"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_GB2312" w:hAnsi="仿宋_GB2312" w:eastAsia="仿宋_GB2312" w:cs="仿宋_GB2312"/>
                <w:b/>
                <w:color w:val="auto"/>
                <w:spacing w:val="-4"/>
                <w:sz w:val="28"/>
                <w:szCs w:val="28"/>
              </w:rPr>
            </w:pPr>
            <w:r>
              <w:rPr>
                <w:rFonts w:hint="eastAsia" w:ascii="仿宋_GB2312" w:hAnsi="仿宋_GB2312" w:eastAsia="仿宋_GB2312" w:cs="仿宋_GB2312"/>
                <w:b/>
                <w:color w:val="auto"/>
                <w:spacing w:val="-4"/>
                <w:sz w:val="28"/>
                <w:szCs w:val="28"/>
                <w:lang w:val="zh-CN"/>
              </w:rPr>
              <w:t>等级</w:t>
            </w:r>
          </w:p>
        </w:tc>
        <w:tc>
          <w:tcPr>
            <w:tcW w:w="1486"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_GB2312" w:hAnsi="仿宋_GB2312" w:eastAsia="仿宋_GB2312" w:cs="仿宋_GB2312"/>
                <w:b/>
                <w:color w:val="auto"/>
                <w:spacing w:val="-4"/>
                <w:sz w:val="28"/>
                <w:szCs w:val="28"/>
              </w:rPr>
            </w:pPr>
            <w:r>
              <w:rPr>
                <w:rFonts w:hint="eastAsia" w:ascii="仿宋_GB2312" w:hAnsi="仿宋_GB2312" w:eastAsia="仿宋_GB2312" w:cs="仿宋_GB2312"/>
                <w:b/>
                <w:color w:val="auto"/>
                <w:spacing w:val="-4"/>
                <w:sz w:val="28"/>
                <w:szCs w:val="28"/>
                <w:lang w:val="zh-CN"/>
              </w:rPr>
              <w:t>比例</w:t>
            </w:r>
          </w:p>
        </w:tc>
        <w:tc>
          <w:tcPr>
            <w:tcW w:w="2085"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_GB2312" w:hAnsi="仿宋_GB2312" w:eastAsia="仿宋_GB2312" w:cs="仿宋_GB2312"/>
                <w:b/>
                <w:color w:val="auto"/>
                <w:spacing w:val="-4"/>
                <w:sz w:val="28"/>
                <w:szCs w:val="28"/>
                <w:lang w:val="zh-CN"/>
              </w:rPr>
            </w:pPr>
            <w:r>
              <w:rPr>
                <w:rFonts w:hint="eastAsia" w:ascii="仿宋_GB2312" w:hAnsi="仿宋_GB2312" w:eastAsia="仿宋_GB2312" w:cs="仿宋_GB2312"/>
                <w:b/>
                <w:color w:val="auto"/>
                <w:spacing w:val="-4"/>
                <w:sz w:val="28"/>
                <w:szCs w:val="28"/>
                <w:lang w:val="zh-CN"/>
              </w:rPr>
              <w:t>奖励标准</w:t>
            </w:r>
          </w:p>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_GB2312" w:hAnsi="仿宋_GB2312" w:eastAsia="仿宋_GB2312" w:cs="仿宋_GB2312"/>
                <w:b/>
                <w:color w:val="auto"/>
                <w:spacing w:val="-4"/>
                <w:sz w:val="28"/>
                <w:szCs w:val="28"/>
              </w:rPr>
            </w:pPr>
            <w:r>
              <w:rPr>
                <w:rFonts w:hint="eastAsia" w:ascii="仿宋_GB2312" w:hAnsi="仿宋_GB2312" w:eastAsia="仿宋_GB2312" w:cs="仿宋_GB2312"/>
                <w:b/>
                <w:color w:val="auto"/>
                <w:spacing w:val="-4"/>
                <w:sz w:val="28"/>
                <w:szCs w:val="28"/>
                <w:lang w:val="zh-CN"/>
              </w:rPr>
              <w:t>（元/</w:t>
            </w:r>
            <w:r>
              <w:rPr>
                <w:rFonts w:hint="eastAsia" w:ascii="仿宋_GB2312" w:hAnsi="仿宋_GB2312" w:eastAsia="仿宋_GB2312" w:cs="仿宋_GB2312"/>
                <w:b/>
                <w:color w:val="auto"/>
                <w:spacing w:val="-4"/>
                <w:sz w:val="28"/>
                <w:szCs w:val="28"/>
              </w:rPr>
              <w:t>人·年</w:t>
            </w:r>
            <w:r>
              <w:rPr>
                <w:rFonts w:hint="eastAsia" w:ascii="仿宋_GB2312" w:hAnsi="仿宋_GB2312" w:eastAsia="仿宋_GB2312" w:cs="仿宋_GB2312"/>
                <w:b/>
                <w:color w:val="auto"/>
                <w:spacing w:val="-4"/>
                <w:sz w:val="28"/>
                <w:szCs w:val="28"/>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90"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_GB2312" w:hAnsi="仿宋_GB2312" w:eastAsia="仿宋_GB2312" w:cs="仿宋_GB2312"/>
                <w:color w:val="auto"/>
                <w:spacing w:val="-4"/>
                <w:sz w:val="28"/>
                <w:szCs w:val="28"/>
                <w:lang w:val="zh-CN"/>
              </w:rPr>
            </w:pPr>
            <w:r>
              <w:rPr>
                <w:rFonts w:hint="eastAsia" w:ascii="仿宋_GB2312" w:hAnsi="仿宋_GB2312" w:eastAsia="仿宋_GB2312" w:cs="仿宋_GB2312"/>
                <w:color w:val="auto"/>
                <w:spacing w:val="-4"/>
                <w:sz w:val="28"/>
                <w:szCs w:val="28"/>
                <w:lang w:val="zh-CN"/>
              </w:rPr>
              <w:t>博士研究生学业奖学金</w:t>
            </w:r>
          </w:p>
        </w:tc>
        <w:tc>
          <w:tcPr>
            <w:tcW w:w="1650"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pacing w:val="-4"/>
                <w:sz w:val="28"/>
                <w:szCs w:val="28"/>
                <w:lang w:val="zh-CN"/>
              </w:rPr>
              <w:t>一等奖</w:t>
            </w:r>
          </w:p>
        </w:tc>
        <w:tc>
          <w:tcPr>
            <w:tcW w:w="1486"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pacing w:val="-4"/>
                <w:sz w:val="28"/>
                <w:szCs w:val="28"/>
                <w:lang w:val="zh-CN"/>
              </w:rPr>
              <w:t>20%</w:t>
            </w:r>
          </w:p>
        </w:tc>
        <w:tc>
          <w:tcPr>
            <w:tcW w:w="2085"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pacing w:val="-4"/>
                <w:sz w:val="28"/>
                <w:szCs w:val="28"/>
                <w:lang w:val="zh-CN"/>
              </w:rPr>
              <w:t>18000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90"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_GB2312" w:hAnsi="仿宋_GB2312" w:eastAsia="仿宋_GB2312" w:cs="仿宋_GB2312"/>
                <w:color w:val="auto"/>
                <w:spacing w:val="-4"/>
                <w:sz w:val="28"/>
                <w:szCs w:val="28"/>
              </w:rPr>
            </w:pPr>
          </w:p>
        </w:tc>
        <w:tc>
          <w:tcPr>
            <w:tcW w:w="1650"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pacing w:val="-4"/>
                <w:sz w:val="28"/>
                <w:szCs w:val="28"/>
                <w:lang w:val="zh-CN"/>
              </w:rPr>
              <w:t>二等奖</w:t>
            </w:r>
          </w:p>
        </w:tc>
        <w:tc>
          <w:tcPr>
            <w:tcW w:w="1486"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pacing w:val="-4"/>
                <w:sz w:val="28"/>
                <w:szCs w:val="28"/>
                <w:lang w:val="zh-CN"/>
              </w:rPr>
              <w:t>30%</w:t>
            </w:r>
          </w:p>
        </w:tc>
        <w:tc>
          <w:tcPr>
            <w:tcW w:w="2085"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pacing w:val="-4"/>
                <w:sz w:val="28"/>
                <w:szCs w:val="28"/>
                <w:lang w:val="zh-CN"/>
              </w:rPr>
              <w:t>12000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90"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_GB2312" w:hAnsi="仿宋_GB2312" w:eastAsia="仿宋_GB2312" w:cs="仿宋_GB2312"/>
                <w:color w:val="auto"/>
                <w:spacing w:val="-4"/>
                <w:sz w:val="28"/>
                <w:szCs w:val="28"/>
              </w:rPr>
            </w:pPr>
          </w:p>
        </w:tc>
        <w:tc>
          <w:tcPr>
            <w:tcW w:w="1650"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pacing w:val="-4"/>
                <w:sz w:val="28"/>
                <w:szCs w:val="28"/>
                <w:lang w:val="zh-CN"/>
              </w:rPr>
              <w:t>三等奖</w:t>
            </w:r>
          </w:p>
        </w:tc>
        <w:tc>
          <w:tcPr>
            <w:tcW w:w="1486"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pacing w:val="-4"/>
                <w:sz w:val="28"/>
                <w:szCs w:val="28"/>
                <w:lang w:val="zh-CN"/>
              </w:rPr>
              <w:t>50%</w:t>
            </w:r>
          </w:p>
        </w:tc>
        <w:tc>
          <w:tcPr>
            <w:tcW w:w="2085"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pacing w:val="-4"/>
                <w:sz w:val="28"/>
                <w:szCs w:val="28"/>
                <w:lang w:val="zh-CN"/>
              </w:rPr>
              <w:t>9000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90"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_GB2312" w:hAnsi="仿宋_GB2312" w:eastAsia="仿宋_GB2312" w:cs="仿宋_GB2312"/>
                <w:color w:val="auto"/>
                <w:spacing w:val="-4"/>
                <w:sz w:val="28"/>
                <w:szCs w:val="28"/>
                <w:lang w:val="zh-CN"/>
              </w:rPr>
            </w:pPr>
            <w:r>
              <w:rPr>
                <w:rFonts w:hint="eastAsia" w:ascii="仿宋_GB2312" w:hAnsi="仿宋_GB2312" w:eastAsia="仿宋_GB2312" w:cs="仿宋_GB2312"/>
                <w:color w:val="auto"/>
                <w:spacing w:val="-4"/>
                <w:sz w:val="28"/>
                <w:szCs w:val="28"/>
                <w:lang w:val="zh-CN"/>
              </w:rPr>
              <w:t>硕士研究生学业奖学金</w:t>
            </w:r>
          </w:p>
        </w:tc>
        <w:tc>
          <w:tcPr>
            <w:tcW w:w="1650"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pacing w:val="-4"/>
                <w:sz w:val="28"/>
                <w:szCs w:val="28"/>
                <w:lang w:val="zh-CN"/>
              </w:rPr>
              <w:t>一等奖</w:t>
            </w:r>
          </w:p>
        </w:tc>
        <w:tc>
          <w:tcPr>
            <w:tcW w:w="1486"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pacing w:val="-4"/>
                <w:sz w:val="28"/>
                <w:szCs w:val="28"/>
                <w:lang w:val="zh-CN"/>
              </w:rPr>
              <w:t>20%</w:t>
            </w:r>
          </w:p>
        </w:tc>
        <w:tc>
          <w:tcPr>
            <w:tcW w:w="2085"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pacing w:val="-4"/>
                <w:sz w:val="28"/>
                <w:szCs w:val="28"/>
                <w:lang w:val="zh-CN"/>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790"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_GB2312" w:hAnsi="仿宋_GB2312" w:eastAsia="仿宋_GB2312" w:cs="仿宋_GB2312"/>
                <w:color w:val="auto"/>
                <w:spacing w:val="-4"/>
                <w:sz w:val="28"/>
                <w:szCs w:val="28"/>
              </w:rPr>
            </w:pPr>
          </w:p>
        </w:tc>
        <w:tc>
          <w:tcPr>
            <w:tcW w:w="1650"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pacing w:val="-4"/>
                <w:sz w:val="28"/>
                <w:szCs w:val="28"/>
                <w:lang w:val="zh-CN"/>
              </w:rPr>
              <w:t>二等奖</w:t>
            </w:r>
          </w:p>
        </w:tc>
        <w:tc>
          <w:tcPr>
            <w:tcW w:w="1486"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pacing w:val="-4"/>
                <w:sz w:val="28"/>
                <w:szCs w:val="28"/>
                <w:lang w:val="zh-CN"/>
              </w:rPr>
              <w:t>30%</w:t>
            </w:r>
          </w:p>
        </w:tc>
        <w:tc>
          <w:tcPr>
            <w:tcW w:w="2085"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pacing w:val="-4"/>
                <w:sz w:val="28"/>
                <w:szCs w:val="28"/>
                <w:lang w:val="zh-CN"/>
              </w:rPr>
              <w:t>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90"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_GB2312" w:hAnsi="仿宋_GB2312" w:eastAsia="仿宋_GB2312" w:cs="仿宋_GB2312"/>
                <w:color w:val="auto"/>
                <w:spacing w:val="-4"/>
                <w:sz w:val="28"/>
                <w:szCs w:val="28"/>
              </w:rPr>
            </w:pPr>
          </w:p>
        </w:tc>
        <w:tc>
          <w:tcPr>
            <w:tcW w:w="1650"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pacing w:val="-4"/>
                <w:sz w:val="28"/>
                <w:szCs w:val="28"/>
                <w:lang w:val="zh-CN"/>
              </w:rPr>
              <w:t>三等类</w:t>
            </w:r>
          </w:p>
        </w:tc>
        <w:tc>
          <w:tcPr>
            <w:tcW w:w="1486"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pacing w:val="-4"/>
                <w:sz w:val="28"/>
                <w:szCs w:val="28"/>
                <w:lang w:val="zh-CN"/>
              </w:rPr>
              <w:t>50%</w:t>
            </w:r>
          </w:p>
        </w:tc>
        <w:tc>
          <w:tcPr>
            <w:tcW w:w="2085" w:type="dxa"/>
            <w:noWrap w:val="0"/>
            <w:vAlign w:val="center"/>
          </w:tcPr>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pacing w:val="-4"/>
                <w:sz w:val="28"/>
                <w:szCs w:val="28"/>
                <w:lang w:val="zh-CN"/>
              </w:rPr>
              <w:t>3000</w:t>
            </w:r>
          </w:p>
        </w:tc>
      </w:tr>
    </w:tbl>
    <w:p>
      <w:pPr>
        <w:spacing w:line="560" w:lineRule="exact"/>
        <w:ind w:firstLine="280" w:firstLineChars="100"/>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rPr>
        <w:t>4.定向研究生的奖学金类别、等级、比例</w:t>
      </w:r>
      <w:r>
        <w:rPr>
          <w:rFonts w:hint="eastAsia" w:ascii="仿宋_GB2312" w:hAnsi="仿宋_GB2312" w:eastAsia="仿宋_GB2312" w:cs="仿宋_GB2312"/>
          <w:color w:val="auto"/>
          <w:sz w:val="28"/>
          <w:szCs w:val="28"/>
          <w:highlight w:val="none"/>
          <w:lang w:eastAsia="zh-CN"/>
        </w:rPr>
        <w:t>（2021级及以前</w:t>
      </w:r>
      <w:r>
        <w:rPr>
          <w:rFonts w:hint="eastAsia" w:ascii="仿宋_GB2312" w:hAnsi="仿宋_GB2312" w:eastAsia="仿宋_GB2312" w:cs="仿宋_GB2312"/>
          <w:color w:val="auto"/>
          <w:sz w:val="28"/>
          <w:szCs w:val="28"/>
          <w:highlight w:val="none"/>
          <w:lang w:val="en-US" w:eastAsia="zh-CN"/>
        </w:rPr>
        <w:t>定向</w:t>
      </w:r>
      <w:r>
        <w:rPr>
          <w:rFonts w:hint="eastAsia" w:ascii="仿宋_GB2312" w:hAnsi="仿宋_GB2312" w:eastAsia="仿宋_GB2312" w:cs="仿宋_GB2312"/>
          <w:color w:val="auto"/>
          <w:sz w:val="28"/>
          <w:szCs w:val="28"/>
          <w:highlight w:val="none"/>
          <w:lang w:eastAsia="zh-CN"/>
        </w:rPr>
        <w:t>研究生学业奖学金获奖一二三等奖比例分别为20%、50%、30%）</w:t>
      </w:r>
    </w:p>
    <w:tbl>
      <w:tblPr>
        <w:tblStyle w:val="4"/>
        <w:tblW w:w="433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81"/>
        <w:gridCol w:w="1491"/>
        <w:gridCol w:w="38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408"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类别</w:t>
            </w:r>
          </w:p>
        </w:tc>
        <w:tc>
          <w:tcPr>
            <w:tcW w:w="1009" w:type="pct"/>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等级</w:t>
            </w:r>
          </w:p>
        </w:tc>
        <w:tc>
          <w:tcPr>
            <w:tcW w:w="2581" w:type="pct"/>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比例</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2022级及以后研究生</w:t>
            </w:r>
            <w:r>
              <w:rPr>
                <w:rFonts w:hint="eastAsia" w:ascii="仿宋_GB2312" w:hAnsi="仿宋_GB2312" w:eastAsia="仿宋_GB2312" w:cs="仿宋_GB2312"/>
                <w:color w:val="auto"/>
                <w:sz w:val="28"/>
                <w:szCs w:val="28"/>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1408" w:type="pct"/>
            <w:vMerge w:val="restart"/>
            <w:tcBorders>
              <w:top w:val="nil"/>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博士研究生</w:t>
            </w:r>
          </w:p>
          <w:p>
            <w:pPr>
              <w:keepNext w:val="0"/>
              <w:keepLines w:val="0"/>
              <w:pageBreakBefore w:val="0"/>
              <w:kinsoku/>
              <w:wordWrap/>
              <w:overflowPunct/>
              <w:topLinePunct w:val="0"/>
              <w:autoSpaceDE/>
              <w:autoSpaceDN/>
              <w:bidi w:val="0"/>
              <w:adjustRightInd/>
              <w:snapToGrid w:val="0"/>
              <w:spacing w:line="360" w:lineRule="auto"/>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学业奖学金</w:t>
            </w:r>
          </w:p>
        </w:tc>
        <w:tc>
          <w:tcPr>
            <w:tcW w:w="1009" w:type="pct"/>
            <w:tcBorders>
              <w:top w:val="single" w:color="auto" w:sz="4" w:space="0"/>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一等奖</w:t>
            </w:r>
          </w:p>
        </w:tc>
        <w:tc>
          <w:tcPr>
            <w:tcW w:w="2581" w:type="pct"/>
            <w:tcBorders>
              <w:top w:val="single" w:color="auto" w:sz="4" w:space="0"/>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66" w:hRule="atLeast"/>
          <w:jc w:val="center"/>
        </w:trPr>
        <w:tc>
          <w:tcPr>
            <w:tcW w:w="1408" w:type="pct"/>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line="360" w:lineRule="auto"/>
              <w:jc w:val="left"/>
              <w:textAlignment w:val="auto"/>
              <w:rPr>
                <w:rFonts w:hint="eastAsia" w:ascii="仿宋_GB2312" w:hAnsi="仿宋_GB2312" w:eastAsia="仿宋_GB2312" w:cs="仿宋_GB2312"/>
                <w:color w:val="auto"/>
                <w:sz w:val="28"/>
                <w:szCs w:val="28"/>
                <w:highlight w:val="none"/>
              </w:rPr>
            </w:pPr>
          </w:p>
        </w:tc>
        <w:tc>
          <w:tcPr>
            <w:tcW w:w="1009" w:type="pct"/>
            <w:tcBorders>
              <w:top w:val="single" w:color="auto" w:sz="4" w:space="0"/>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二等奖</w:t>
            </w:r>
          </w:p>
        </w:tc>
        <w:tc>
          <w:tcPr>
            <w:tcW w:w="2581" w:type="pct"/>
            <w:tcBorders>
              <w:top w:val="single" w:color="auto" w:sz="4" w:space="0"/>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408" w:type="pct"/>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line="360" w:lineRule="auto"/>
              <w:jc w:val="left"/>
              <w:textAlignment w:val="auto"/>
              <w:rPr>
                <w:rFonts w:hint="eastAsia" w:ascii="仿宋_GB2312" w:hAnsi="仿宋_GB2312" w:eastAsia="仿宋_GB2312" w:cs="仿宋_GB2312"/>
                <w:color w:val="auto"/>
                <w:sz w:val="28"/>
                <w:szCs w:val="28"/>
                <w:highlight w:val="none"/>
              </w:rPr>
            </w:pPr>
          </w:p>
        </w:tc>
        <w:tc>
          <w:tcPr>
            <w:tcW w:w="1009" w:type="pct"/>
            <w:tcBorders>
              <w:top w:val="single" w:color="auto" w:sz="4" w:space="0"/>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三等奖</w:t>
            </w:r>
          </w:p>
        </w:tc>
        <w:tc>
          <w:tcPr>
            <w:tcW w:w="2581" w:type="pct"/>
            <w:tcBorders>
              <w:top w:val="single" w:color="auto" w:sz="4" w:space="0"/>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66" w:hRule="atLeast"/>
          <w:jc w:val="center"/>
        </w:trPr>
        <w:tc>
          <w:tcPr>
            <w:tcW w:w="1408" w:type="pct"/>
            <w:vMerge w:val="restart"/>
            <w:tcBorders>
              <w:top w:val="nil"/>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硕士研究生</w:t>
            </w:r>
          </w:p>
          <w:p>
            <w:pPr>
              <w:keepNext w:val="0"/>
              <w:keepLines w:val="0"/>
              <w:pageBreakBefore w:val="0"/>
              <w:kinsoku/>
              <w:wordWrap/>
              <w:overflowPunct/>
              <w:topLinePunct w:val="0"/>
              <w:autoSpaceDE/>
              <w:autoSpaceDN/>
              <w:bidi w:val="0"/>
              <w:adjustRightInd/>
              <w:snapToGrid w:val="0"/>
              <w:spacing w:line="360" w:lineRule="auto"/>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学业奖学金</w:t>
            </w:r>
          </w:p>
        </w:tc>
        <w:tc>
          <w:tcPr>
            <w:tcW w:w="1009" w:type="pct"/>
            <w:tcBorders>
              <w:top w:val="single" w:color="auto" w:sz="4" w:space="0"/>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一等奖</w:t>
            </w:r>
          </w:p>
        </w:tc>
        <w:tc>
          <w:tcPr>
            <w:tcW w:w="2581" w:type="pct"/>
            <w:tcBorders>
              <w:top w:val="single" w:color="auto" w:sz="4" w:space="0"/>
              <w:left w:val="nil"/>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sz w:val="28"/>
                <w:szCs w:val="28"/>
                <w:highlight w:val="none"/>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408" w:type="pct"/>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line="360" w:lineRule="auto"/>
              <w:jc w:val="left"/>
              <w:textAlignment w:val="auto"/>
              <w:rPr>
                <w:rFonts w:hint="eastAsia" w:ascii="仿宋_GB2312" w:hAnsi="仿宋_GB2312" w:eastAsia="仿宋_GB2312" w:cs="仿宋_GB2312"/>
                <w:color w:val="auto"/>
                <w:sz w:val="28"/>
                <w:szCs w:val="28"/>
                <w:highlight w:val="none"/>
              </w:rPr>
            </w:pPr>
          </w:p>
        </w:tc>
        <w:tc>
          <w:tcPr>
            <w:tcW w:w="1009" w:type="pct"/>
            <w:tcBorders>
              <w:top w:val="single" w:color="auto" w:sz="4" w:space="0"/>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二等奖</w:t>
            </w:r>
          </w:p>
        </w:tc>
        <w:tc>
          <w:tcPr>
            <w:tcW w:w="2581" w:type="pct"/>
            <w:tcBorders>
              <w:top w:val="single" w:color="auto" w:sz="4" w:space="0"/>
              <w:left w:val="nil"/>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sz w:val="28"/>
                <w:szCs w:val="28"/>
                <w:highlight w:val="none"/>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408" w:type="pct"/>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line="360" w:lineRule="auto"/>
              <w:jc w:val="left"/>
              <w:textAlignment w:val="auto"/>
              <w:rPr>
                <w:rFonts w:hint="eastAsia" w:ascii="仿宋_GB2312" w:hAnsi="仿宋_GB2312" w:eastAsia="仿宋_GB2312" w:cs="仿宋_GB2312"/>
                <w:color w:val="auto"/>
                <w:sz w:val="28"/>
                <w:szCs w:val="28"/>
                <w:highlight w:val="none"/>
              </w:rPr>
            </w:pPr>
          </w:p>
        </w:tc>
        <w:tc>
          <w:tcPr>
            <w:tcW w:w="1009" w:type="pct"/>
            <w:tcBorders>
              <w:top w:val="single" w:color="auto" w:sz="4" w:space="0"/>
              <w:left w:val="nil"/>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三等奖</w:t>
            </w:r>
          </w:p>
        </w:tc>
        <w:tc>
          <w:tcPr>
            <w:tcW w:w="2581" w:type="pct"/>
            <w:tcBorders>
              <w:top w:val="single" w:color="auto" w:sz="4" w:space="0"/>
              <w:left w:val="nil"/>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val="0"/>
              <w:spacing w:line="360" w:lineRule="auto"/>
              <w:jc w:val="center"/>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sz w:val="28"/>
                <w:szCs w:val="28"/>
                <w:highlight w:val="none"/>
              </w:rPr>
              <w:t>50%</w:t>
            </w:r>
          </w:p>
        </w:tc>
      </w:tr>
    </w:tbl>
    <w:p>
      <w:pPr>
        <w:spacing w:line="56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5.名额分配</w:t>
      </w:r>
    </w:p>
    <w:p>
      <w:pPr>
        <w:spacing w:line="56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以本学院当年在读正常学制内全日制研究生为基数，非定向研究生学业奖学金的获奖比例以非定向研究生人数为基数计算，定向研究生学业奖学金的获奖比例以定向研究生人数为基数计算，博士生、硕士生分开计算，按照规定比例以四舍五入的方法分别计算本学院各类研究生学业奖学金的获奖人数。四舍五入后的指标不超出学校给定评选名额。</w:t>
      </w:r>
    </w:p>
    <w:p>
      <w:pPr>
        <w:spacing w:line="560" w:lineRule="exact"/>
        <w:ind w:firstLine="560" w:firstLineChars="200"/>
        <w:rPr>
          <w:rFonts w:hint="eastAsia" w:ascii="仿宋_GB2312" w:hAnsi="仿宋_GB2312" w:eastAsia="仿宋_GB2312" w:cs="仿宋_GB2312"/>
          <w:color w:val="auto"/>
          <w:sz w:val="28"/>
          <w:szCs w:val="28"/>
          <w:highlight w:val="none"/>
        </w:rPr>
      </w:pPr>
      <w:bookmarkStart w:id="0" w:name="_GoBack"/>
      <w:bookmarkEnd w:id="0"/>
    </w:p>
    <w:p>
      <w:pPr>
        <w:spacing w:line="56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32"/>
          <w:szCs w:val="32"/>
          <w:highlight w:val="none"/>
          <w:lang w:val="en-US" w:eastAsia="zh-CN"/>
        </w:rPr>
        <w:t>第三章  评选条件</w:t>
      </w:r>
    </w:p>
    <w:p>
      <w:pPr>
        <w:numPr>
          <w:ilvl w:val="0"/>
          <w:numId w:val="0"/>
        </w:numPr>
        <w:spacing w:line="560" w:lineRule="exact"/>
        <w:ind w:firstLine="562" w:firstLineChars="200"/>
        <w:rPr>
          <w:rFonts w:hint="eastAsia" w:ascii="仿宋_GB2312" w:hAnsi="仿宋_GB2312" w:eastAsia="仿宋_GB2312" w:cs="仿宋_GB2312"/>
          <w:b w:val="0"/>
          <w:bCs w:val="0"/>
          <w:color w:val="auto"/>
          <w:sz w:val="28"/>
          <w:szCs w:val="28"/>
          <w:highlight w:val="none"/>
        </w:rPr>
      </w:pPr>
      <w:r>
        <w:rPr>
          <w:rFonts w:hint="eastAsia" w:ascii="仿宋_GB2312" w:hAnsi="仿宋_GB2312" w:eastAsia="仿宋_GB2312" w:cs="仿宋_GB2312"/>
          <w:b/>
          <w:bCs/>
          <w:i w:val="0"/>
          <w:iCs w:val="0"/>
          <w:color w:val="auto"/>
          <w:sz w:val="28"/>
          <w:szCs w:val="28"/>
          <w:highlight w:val="none"/>
          <w:lang w:val="en-US" w:eastAsia="zh-CN"/>
        </w:rPr>
        <w:t xml:space="preserve">第五条 </w:t>
      </w:r>
      <w:r>
        <w:rPr>
          <w:rFonts w:hint="eastAsia" w:ascii="仿宋_GB2312" w:hAnsi="仿宋_GB2312" w:eastAsia="仿宋_GB2312" w:cs="仿宋_GB2312"/>
          <w:b/>
          <w:bCs/>
          <w:color w:val="auto"/>
          <w:sz w:val="28"/>
          <w:szCs w:val="28"/>
          <w:highlight w:val="none"/>
          <w:lang w:val="en-US" w:eastAsia="zh-CN"/>
        </w:rPr>
        <w:t xml:space="preserve"> </w:t>
      </w:r>
      <w:r>
        <w:rPr>
          <w:rFonts w:hint="eastAsia" w:ascii="仿宋_GB2312" w:hAnsi="仿宋_GB2312" w:eastAsia="仿宋_GB2312" w:cs="仿宋_GB2312"/>
          <w:b w:val="0"/>
          <w:bCs w:val="0"/>
          <w:color w:val="auto"/>
          <w:sz w:val="28"/>
          <w:szCs w:val="28"/>
          <w:highlight w:val="none"/>
        </w:rPr>
        <w:t>基本申请条件</w:t>
      </w:r>
    </w:p>
    <w:p>
      <w:pPr>
        <w:spacing w:line="576" w:lineRule="exact"/>
        <w:ind w:firstLine="544" w:firstLineChars="200"/>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pacing w:val="-4"/>
          <w:sz w:val="28"/>
          <w:szCs w:val="28"/>
        </w:rPr>
        <w:t>（一）具有中华人民共和国国籍；</w:t>
      </w:r>
    </w:p>
    <w:p>
      <w:pPr>
        <w:spacing w:line="576" w:lineRule="exact"/>
        <w:ind w:firstLine="544" w:firstLineChars="200"/>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pacing w:val="-4"/>
          <w:sz w:val="28"/>
          <w:szCs w:val="28"/>
        </w:rPr>
        <w:t>（二）热爱社会主义祖国，拥护中国共产党的领导；</w:t>
      </w:r>
    </w:p>
    <w:p>
      <w:pPr>
        <w:spacing w:line="576" w:lineRule="exact"/>
        <w:ind w:firstLine="544" w:firstLineChars="200"/>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pacing w:val="-4"/>
          <w:sz w:val="28"/>
          <w:szCs w:val="28"/>
        </w:rPr>
        <w:t>（三）遵守宪法和法律，遵守研究生培养单位规章制度；</w:t>
      </w:r>
    </w:p>
    <w:p>
      <w:pPr>
        <w:spacing w:line="576" w:lineRule="exact"/>
        <w:ind w:firstLine="544" w:firstLineChars="200"/>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pacing w:val="-4"/>
          <w:sz w:val="28"/>
          <w:szCs w:val="28"/>
        </w:rPr>
        <w:t>（四）诚实守信，道德品质优良；</w:t>
      </w:r>
    </w:p>
    <w:p>
      <w:pPr>
        <w:spacing w:line="576" w:lineRule="exact"/>
        <w:ind w:firstLine="544" w:firstLineChars="200"/>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pacing w:val="-4"/>
          <w:sz w:val="28"/>
          <w:szCs w:val="28"/>
        </w:rPr>
        <w:t>（五）学习成绩优异，科研能力显著，发展潜力突出；</w:t>
      </w:r>
    </w:p>
    <w:p>
      <w:pPr>
        <w:spacing w:line="576" w:lineRule="exact"/>
        <w:ind w:firstLine="544" w:firstLineChars="200"/>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pacing w:val="-4"/>
          <w:sz w:val="28"/>
          <w:szCs w:val="28"/>
        </w:rPr>
        <w:t>（六）积极参与科学研究和社会实践；</w:t>
      </w:r>
    </w:p>
    <w:p>
      <w:pPr>
        <w:spacing w:line="576" w:lineRule="exact"/>
        <w:ind w:firstLine="544" w:firstLineChars="200"/>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pacing w:val="-4"/>
          <w:sz w:val="28"/>
          <w:szCs w:val="28"/>
        </w:rPr>
        <w:t>（七）勤奋学习，积极上进。</w:t>
      </w:r>
    </w:p>
    <w:p>
      <w:pPr>
        <w:spacing w:line="576" w:lineRule="exact"/>
        <w:ind w:firstLine="546" w:firstLineChars="200"/>
        <w:rPr>
          <w:rFonts w:hint="default" w:ascii="仿宋_GB2312" w:hAnsi="仿宋_GB2312" w:eastAsia="仿宋_GB2312" w:cs="仿宋_GB2312"/>
          <w:color w:val="auto"/>
          <w:spacing w:val="-4"/>
          <w:sz w:val="28"/>
          <w:szCs w:val="28"/>
          <w:lang w:val="en-US" w:eastAsia="zh-CN"/>
        </w:rPr>
      </w:pPr>
      <w:r>
        <w:rPr>
          <w:rFonts w:hint="eastAsia" w:ascii="仿宋_GB2312" w:hAnsi="仿宋_GB2312" w:eastAsia="仿宋_GB2312" w:cs="仿宋_GB2312"/>
          <w:b/>
          <w:bCs/>
          <w:color w:val="auto"/>
          <w:spacing w:val="-4"/>
          <w:sz w:val="28"/>
          <w:szCs w:val="28"/>
          <w:lang w:val="en-US" w:eastAsia="zh-CN"/>
        </w:rPr>
        <w:t>第六条</w:t>
      </w:r>
      <w:r>
        <w:rPr>
          <w:rFonts w:hint="eastAsia" w:ascii="仿宋_GB2312" w:hAnsi="仿宋_GB2312" w:eastAsia="仿宋_GB2312" w:cs="仿宋_GB2312"/>
          <w:color w:val="auto"/>
          <w:spacing w:val="-4"/>
          <w:sz w:val="28"/>
          <w:szCs w:val="28"/>
          <w:lang w:val="en-US" w:eastAsia="zh-CN"/>
        </w:rPr>
        <w:t xml:space="preserve">  申请学业奖学金的学生，除了具备第四条规定的基本条件外，须同时具备以下条件：</w:t>
      </w:r>
    </w:p>
    <w:p>
      <w:pPr>
        <w:spacing w:line="576" w:lineRule="exact"/>
        <w:ind w:left="624"/>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pacing w:val="-4"/>
          <w:sz w:val="28"/>
          <w:szCs w:val="28"/>
        </w:rPr>
        <w:t>（</w:t>
      </w:r>
      <w:r>
        <w:rPr>
          <w:rFonts w:hint="eastAsia" w:ascii="仿宋_GB2312" w:hAnsi="仿宋_GB2312" w:eastAsia="仿宋_GB2312" w:cs="仿宋_GB2312"/>
          <w:color w:val="auto"/>
          <w:spacing w:val="-4"/>
          <w:sz w:val="28"/>
          <w:szCs w:val="28"/>
          <w:lang w:val="en-US" w:eastAsia="zh-CN"/>
        </w:rPr>
        <w:t>一</w:t>
      </w:r>
      <w:r>
        <w:rPr>
          <w:rFonts w:hint="eastAsia" w:ascii="仿宋_GB2312" w:hAnsi="仿宋_GB2312" w:eastAsia="仿宋_GB2312" w:cs="仿宋_GB2312"/>
          <w:color w:val="auto"/>
          <w:spacing w:val="-4"/>
          <w:sz w:val="28"/>
          <w:szCs w:val="28"/>
        </w:rPr>
        <w:t>）纳入全国研究生招生计划的全日制研究生；</w:t>
      </w:r>
    </w:p>
    <w:p>
      <w:pPr>
        <w:spacing w:line="576" w:lineRule="exact"/>
        <w:ind w:left="624"/>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pacing w:val="-4"/>
          <w:sz w:val="28"/>
          <w:szCs w:val="28"/>
        </w:rPr>
        <w:t>（</w:t>
      </w:r>
      <w:r>
        <w:rPr>
          <w:rFonts w:hint="eastAsia" w:ascii="仿宋_GB2312" w:hAnsi="仿宋_GB2312" w:eastAsia="仿宋_GB2312" w:cs="仿宋_GB2312"/>
          <w:color w:val="auto"/>
          <w:spacing w:val="-4"/>
          <w:sz w:val="28"/>
          <w:szCs w:val="28"/>
          <w:lang w:val="en-US" w:eastAsia="zh-CN"/>
        </w:rPr>
        <w:t>二</w:t>
      </w:r>
      <w:r>
        <w:rPr>
          <w:rFonts w:hint="eastAsia" w:ascii="仿宋_GB2312" w:hAnsi="仿宋_GB2312" w:eastAsia="仿宋_GB2312" w:cs="仿宋_GB2312"/>
          <w:color w:val="auto"/>
          <w:spacing w:val="-4"/>
          <w:sz w:val="28"/>
          <w:szCs w:val="28"/>
        </w:rPr>
        <w:t>）在规定学制期内的全日制在读研究生；</w:t>
      </w:r>
    </w:p>
    <w:p>
      <w:pPr>
        <w:spacing w:line="576" w:lineRule="exact"/>
        <w:ind w:firstLine="544" w:firstLineChars="200"/>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pacing w:val="-4"/>
          <w:sz w:val="28"/>
          <w:szCs w:val="28"/>
          <w:lang w:eastAsia="zh-CN"/>
        </w:rPr>
        <w:t>（</w:t>
      </w:r>
      <w:r>
        <w:rPr>
          <w:rFonts w:hint="eastAsia" w:ascii="仿宋_GB2312" w:hAnsi="仿宋_GB2312" w:eastAsia="仿宋_GB2312" w:cs="仿宋_GB2312"/>
          <w:color w:val="auto"/>
          <w:spacing w:val="-4"/>
          <w:sz w:val="28"/>
          <w:szCs w:val="28"/>
          <w:lang w:val="en-US" w:eastAsia="zh-CN"/>
        </w:rPr>
        <w:t>三</w:t>
      </w:r>
      <w:r>
        <w:rPr>
          <w:rFonts w:hint="eastAsia" w:ascii="仿宋_GB2312" w:hAnsi="仿宋_GB2312" w:eastAsia="仿宋_GB2312" w:cs="仿宋_GB2312"/>
          <w:color w:val="auto"/>
          <w:spacing w:val="-4"/>
          <w:sz w:val="28"/>
          <w:szCs w:val="28"/>
          <w:lang w:eastAsia="zh-CN"/>
        </w:rPr>
        <w:t>）</w:t>
      </w:r>
      <w:r>
        <w:rPr>
          <w:rFonts w:hint="eastAsia" w:ascii="仿宋_GB2312" w:hAnsi="仿宋_GB2312" w:eastAsia="仿宋_GB2312" w:cs="仿宋_GB2312"/>
          <w:color w:val="auto"/>
          <w:spacing w:val="-4"/>
          <w:sz w:val="28"/>
          <w:szCs w:val="28"/>
        </w:rPr>
        <w:t>有下列情况之一者不能申请</w:t>
      </w:r>
      <w:r>
        <w:rPr>
          <w:rFonts w:hint="eastAsia" w:ascii="仿宋_GB2312" w:hAnsi="仿宋_GB2312" w:eastAsia="仿宋_GB2312" w:cs="仿宋_GB2312"/>
          <w:color w:val="auto"/>
          <w:spacing w:val="-4"/>
          <w:sz w:val="28"/>
          <w:szCs w:val="28"/>
          <w:lang w:val="en-US" w:eastAsia="zh-CN"/>
        </w:rPr>
        <w:t>学业奖学金</w:t>
      </w:r>
      <w:r>
        <w:rPr>
          <w:rFonts w:hint="eastAsia" w:ascii="仿宋_GB2312" w:hAnsi="仿宋_GB2312" w:eastAsia="仿宋_GB2312" w:cs="仿宋_GB2312"/>
          <w:color w:val="auto"/>
          <w:spacing w:val="-4"/>
          <w:sz w:val="28"/>
          <w:szCs w:val="28"/>
        </w:rPr>
        <w:t>：</w:t>
      </w:r>
    </w:p>
    <w:p>
      <w:pPr>
        <w:spacing w:line="576" w:lineRule="exact"/>
        <w:ind w:firstLine="544" w:firstLineChars="200"/>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pacing w:val="-4"/>
          <w:sz w:val="28"/>
          <w:szCs w:val="28"/>
        </w:rPr>
        <w:fldChar w:fldCharType="begin"/>
      </w:r>
      <w:r>
        <w:rPr>
          <w:rFonts w:hint="eastAsia" w:ascii="仿宋_GB2312" w:hAnsi="仿宋_GB2312" w:eastAsia="仿宋_GB2312" w:cs="仿宋_GB2312"/>
          <w:color w:val="auto"/>
          <w:spacing w:val="-4"/>
          <w:sz w:val="28"/>
          <w:szCs w:val="28"/>
        </w:rPr>
        <w:instrText xml:space="preserve"> = 1 \* GB3 </w:instrText>
      </w:r>
      <w:r>
        <w:rPr>
          <w:rFonts w:hint="eastAsia" w:ascii="仿宋_GB2312" w:hAnsi="仿宋_GB2312" w:eastAsia="仿宋_GB2312" w:cs="仿宋_GB2312"/>
          <w:color w:val="auto"/>
          <w:spacing w:val="-4"/>
          <w:sz w:val="28"/>
          <w:szCs w:val="28"/>
        </w:rPr>
        <w:fldChar w:fldCharType="separate"/>
      </w:r>
      <w:r>
        <w:rPr>
          <w:rFonts w:hint="eastAsia" w:ascii="仿宋_GB2312" w:hAnsi="仿宋_GB2312" w:eastAsia="仿宋_GB2312" w:cs="仿宋_GB2312"/>
          <w:color w:val="auto"/>
          <w:spacing w:val="-4"/>
          <w:sz w:val="28"/>
          <w:szCs w:val="28"/>
        </w:rPr>
        <w:t>①</w:t>
      </w:r>
      <w:r>
        <w:rPr>
          <w:rFonts w:hint="eastAsia" w:ascii="仿宋_GB2312" w:hAnsi="仿宋_GB2312" w:eastAsia="仿宋_GB2312" w:cs="仿宋_GB2312"/>
          <w:color w:val="auto"/>
          <w:spacing w:val="-4"/>
          <w:sz w:val="28"/>
          <w:szCs w:val="28"/>
        </w:rPr>
        <w:fldChar w:fldCharType="end"/>
      </w:r>
      <w:r>
        <w:rPr>
          <w:rFonts w:hint="eastAsia" w:ascii="仿宋_GB2312" w:hAnsi="仿宋_GB2312" w:eastAsia="仿宋_GB2312" w:cs="仿宋_GB2312"/>
          <w:color w:val="auto"/>
          <w:spacing w:val="-4"/>
          <w:sz w:val="28"/>
          <w:szCs w:val="28"/>
        </w:rPr>
        <w:t xml:space="preserve"> 在学校规定时间内未完成注册手续；</w:t>
      </w:r>
    </w:p>
    <w:p>
      <w:pPr>
        <w:spacing w:line="576" w:lineRule="exact"/>
        <w:ind w:firstLine="544" w:firstLineChars="200"/>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pacing w:val="-4"/>
          <w:sz w:val="28"/>
          <w:szCs w:val="28"/>
        </w:rPr>
        <w:fldChar w:fldCharType="begin"/>
      </w:r>
      <w:r>
        <w:rPr>
          <w:rFonts w:hint="eastAsia" w:ascii="仿宋_GB2312" w:hAnsi="仿宋_GB2312" w:eastAsia="仿宋_GB2312" w:cs="仿宋_GB2312"/>
          <w:color w:val="auto"/>
          <w:spacing w:val="-4"/>
          <w:sz w:val="28"/>
          <w:szCs w:val="28"/>
        </w:rPr>
        <w:instrText xml:space="preserve"> = 2 \* GB3 </w:instrText>
      </w:r>
      <w:r>
        <w:rPr>
          <w:rFonts w:hint="eastAsia" w:ascii="仿宋_GB2312" w:hAnsi="仿宋_GB2312" w:eastAsia="仿宋_GB2312" w:cs="仿宋_GB2312"/>
          <w:color w:val="auto"/>
          <w:spacing w:val="-4"/>
          <w:sz w:val="28"/>
          <w:szCs w:val="28"/>
        </w:rPr>
        <w:fldChar w:fldCharType="separate"/>
      </w:r>
      <w:r>
        <w:rPr>
          <w:rFonts w:hint="eastAsia" w:ascii="仿宋_GB2312" w:hAnsi="仿宋_GB2312" w:eastAsia="仿宋_GB2312" w:cs="仿宋_GB2312"/>
          <w:color w:val="auto"/>
          <w:spacing w:val="-4"/>
          <w:sz w:val="28"/>
          <w:szCs w:val="28"/>
        </w:rPr>
        <w:t>②</w:t>
      </w:r>
      <w:r>
        <w:rPr>
          <w:rFonts w:hint="eastAsia" w:ascii="仿宋_GB2312" w:hAnsi="仿宋_GB2312" w:eastAsia="仿宋_GB2312" w:cs="仿宋_GB2312"/>
          <w:color w:val="auto"/>
          <w:spacing w:val="-4"/>
          <w:sz w:val="28"/>
          <w:szCs w:val="28"/>
        </w:rPr>
        <w:fldChar w:fldCharType="end"/>
      </w:r>
      <w:r>
        <w:rPr>
          <w:rFonts w:hint="eastAsia" w:ascii="仿宋_GB2312" w:hAnsi="仿宋_GB2312" w:eastAsia="仿宋_GB2312" w:cs="仿宋_GB2312"/>
          <w:color w:val="auto"/>
          <w:spacing w:val="-4"/>
          <w:sz w:val="28"/>
          <w:szCs w:val="28"/>
        </w:rPr>
        <w:t xml:space="preserve"> 一年级研究生经查实在研究生入学考试中隐瞒事实或有虚假内容;</w:t>
      </w:r>
    </w:p>
    <w:p>
      <w:pPr>
        <w:spacing w:line="576" w:lineRule="exact"/>
        <w:ind w:firstLine="544" w:firstLineChars="200"/>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pacing w:val="-4"/>
          <w:sz w:val="28"/>
          <w:szCs w:val="28"/>
        </w:rPr>
        <w:fldChar w:fldCharType="begin"/>
      </w:r>
      <w:r>
        <w:rPr>
          <w:rFonts w:hint="eastAsia" w:ascii="仿宋_GB2312" w:hAnsi="仿宋_GB2312" w:eastAsia="仿宋_GB2312" w:cs="仿宋_GB2312"/>
          <w:color w:val="auto"/>
          <w:spacing w:val="-4"/>
          <w:sz w:val="28"/>
          <w:szCs w:val="28"/>
        </w:rPr>
        <w:instrText xml:space="preserve"> = 3 \* GB3 </w:instrText>
      </w:r>
      <w:r>
        <w:rPr>
          <w:rFonts w:hint="eastAsia" w:ascii="仿宋_GB2312" w:hAnsi="仿宋_GB2312" w:eastAsia="仿宋_GB2312" w:cs="仿宋_GB2312"/>
          <w:color w:val="auto"/>
          <w:spacing w:val="-4"/>
          <w:sz w:val="28"/>
          <w:szCs w:val="28"/>
        </w:rPr>
        <w:fldChar w:fldCharType="separate"/>
      </w:r>
      <w:r>
        <w:rPr>
          <w:rFonts w:hint="eastAsia" w:ascii="仿宋_GB2312" w:hAnsi="仿宋_GB2312" w:eastAsia="仿宋_GB2312" w:cs="仿宋_GB2312"/>
          <w:color w:val="auto"/>
          <w:spacing w:val="-4"/>
          <w:sz w:val="28"/>
          <w:szCs w:val="28"/>
        </w:rPr>
        <w:t>③</w:t>
      </w:r>
      <w:r>
        <w:rPr>
          <w:rFonts w:hint="eastAsia" w:ascii="仿宋_GB2312" w:hAnsi="仿宋_GB2312" w:eastAsia="仿宋_GB2312" w:cs="仿宋_GB2312"/>
          <w:color w:val="auto"/>
          <w:spacing w:val="-4"/>
          <w:sz w:val="28"/>
          <w:szCs w:val="28"/>
        </w:rPr>
        <w:fldChar w:fldCharType="end"/>
      </w:r>
      <w:r>
        <w:rPr>
          <w:rFonts w:hint="eastAsia" w:ascii="仿宋_GB2312" w:hAnsi="仿宋_GB2312" w:eastAsia="仿宋_GB2312" w:cs="仿宋_GB2312"/>
          <w:color w:val="auto"/>
          <w:spacing w:val="-4"/>
          <w:sz w:val="28"/>
          <w:szCs w:val="28"/>
        </w:rPr>
        <w:t xml:space="preserve"> 评审年度受到学校通报批评以上（含通报批评）处理或处分；</w:t>
      </w:r>
    </w:p>
    <w:p>
      <w:pPr>
        <w:spacing w:line="576" w:lineRule="exact"/>
        <w:ind w:firstLine="544" w:firstLineChars="200"/>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pacing w:val="-4"/>
          <w:sz w:val="28"/>
          <w:szCs w:val="28"/>
        </w:rPr>
        <w:fldChar w:fldCharType="begin"/>
      </w:r>
      <w:r>
        <w:rPr>
          <w:rFonts w:hint="eastAsia" w:ascii="仿宋_GB2312" w:hAnsi="仿宋_GB2312" w:eastAsia="仿宋_GB2312" w:cs="仿宋_GB2312"/>
          <w:color w:val="auto"/>
          <w:spacing w:val="-4"/>
          <w:sz w:val="28"/>
          <w:szCs w:val="28"/>
        </w:rPr>
        <w:instrText xml:space="preserve"> = 4 \* GB3 </w:instrText>
      </w:r>
      <w:r>
        <w:rPr>
          <w:rFonts w:hint="eastAsia" w:ascii="仿宋_GB2312" w:hAnsi="仿宋_GB2312" w:eastAsia="仿宋_GB2312" w:cs="仿宋_GB2312"/>
          <w:color w:val="auto"/>
          <w:spacing w:val="-4"/>
          <w:sz w:val="28"/>
          <w:szCs w:val="28"/>
        </w:rPr>
        <w:fldChar w:fldCharType="separate"/>
      </w:r>
      <w:r>
        <w:rPr>
          <w:rFonts w:hint="eastAsia" w:ascii="仿宋_GB2312" w:hAnsi="仿宋_GB2312" w:eastAsia="仿宋_GB2312" w:cs="仿宋_GB2312"/>
          <w:color w:val="auto"/>
          <w:spacing w:val="-4"/>
          <w:sz w:val="28"/>
          <w:szCs w:val="28"/>
        </w:rPr>
        <w:t>④</w:t>
      </w:r>
      <w:r>
        <w:rPr>
          <w:rFonts w:hint="eastAsia" w:ascii="仿宋_GB2312" w:hAnsi="仿宋_GB2312" w:eastAsia="仿宋_GB2312" w:cs="仿宋_GB2312"/>
          <w:color w:val="auto"/>
          <w:spacing w:val="-4"/>
          <w:sz w:val="28"/>
          <w:szCs w:val="28"/>
        </w:rPr>
        <w:fldChar w:fldCharType="end"/>
      </w:r>
      <w:r>
        <w:rPr>
          <w:rFonts w:hint="eastAsia" w:ascii="仿宋_GB2312" w:hAnsi="仿宋_GB2312" w:eastAsia="仿宋_GB2312" w:cs="仿宋_GB2312"/>
          <w:color w:val="auto"/>
          <w:spacing w:val="-4"/>
          <w:sz w:val="28"/>
          <w:szCs w:val="28"/>
        </w:rPr>
        <w:t xml:space="preserve"> 二年级及以上研究生参评学年度课程考试有一门以上（含一门）不及格；</w:t>
      </w:r>
    </w:p>
    <w:p>
      <w:pPr>
        <w:spacing w:line="576" w:lineRule="exact"/>
        <w:ind w:firstLine="544" w:firstLineChars="200"/>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pacing w:val="-4"/>
          <w:sz w:val="28"/>
          <w:szCs w:val="28"/>
        </w:rPr>
        <w:fldChar w:fldCharType="begin"/>
      </w:r>
      <w:r>
        <w:rPr>
          <w:rFonts w:hint="eastAsia" w:ascii="仿宋_GB2312" w:hAnsi="仿宋_GB2312" w:eastAsia="仿宋_GB2312" w:cs="仿宋_GB2312"/>
          <w:color w:val="auto"/>
          <w:spacing w:val="-4"/>
          <w:sz w:val="28"/>
          <w:szCs w:val="28"/>
        </w:rPr>
        <w:instrText xml:space="preserve"> = 5 \* GB3 </w:instrText>
      </w:r>
      <w:r>
        <w:rPr>
          <w:rFonts w:hint="eastAsia" w:ascii="仿宋_GB2312" w:hAnsi="仿宋_GB2312" w:eastAsia="仿宋_GB2312" w:cs="仿宋_GB2312"/>
          <w:color w:val="auto"/>
          <w:spacing w:val="-4"/>
          <w:sz w:val="28"/>
          <w:szCs w:val="28"/>
        </w:rPr>
        <w:fldChar w:fldCharType="separate"/>
      </w:r>
      <w:r>
        <w:rPr>
          <w:rFonts w:hint="eastAsia" w:ascii="仿宋_GB2312" w:hAnsi="仿宋_GB2312" w:eastAsia="仿宋_GB2312" w:cs="仿宋_GB2312"/>
          <w:color w:val="auto"/>
          <w:spacing w:val="-4"/>
          <w:sz w:val="28"/>
          <w:szCs w:val="28"/>
        </w:rPr>
        <w:t>⑤</w:t>
      </w:r>
      <w:r>
        <w:rPr>
          <w:rFonts w:hint="eastAsia" w:ascii="仿宋_GB2312" w:hAnsi="仿宋_GB2312" w:eastAsia="仿宋_GB2312" w:cs="仿宋_GB2312"/>
          <w:color w:val="auto"/>
          <w:spacing w:val="-4"/>
          <w:sz w:val="28"/>
          <w:szCs w:val="28"/>
        </w:rPr>
        <w:fldChar w:fldCharType="end"/>
      </w:r>
      <w:r>
        <w:rPr>
          <w:rFonts w:hint="eastAsia" w:ascii="仿宋_GB2312" w:hAnsi="仿宋_GB2312" w:eastAsia="仿宋_GB2312" w:cs="仿宋_GB2312"/>
          <w:color w:val="auto"/>
          <w:spacing w:val="-4"/>
          <w:sz w:val="28"/>
          <w:szCs w:val="28"/>
        </w:rPr>
        <w:t xml:space="preserve"> 休学、保留学籍及经学校批准复学不满半年；</w:t>
      </w:r>
    </w:p>
    <w:p>
      <w:pPr>
        <w:spacing w:line="576" w:lineRule="exact"/>
        <w:ind w:firstLine="544" w:firstLineChars="200"/>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pacing w:val="-4"/>
          <w:sz w:val="28"/>
          <w:szCs w:val="28"/>
        </w:rPr>
        <w:fldChar w:fldCharType="begin"/>
      </w:r>
      <w:r>
        <w:rPr>
          <w:rFonts w:hint="eastAsia" w:ascii="仿宋_GB2312" w:hAnsi="仿宋_GB2312" w:eastAsia="仿宋_GB2312" w:cs="仿宋_GB2312"/>
          <w:color w:val="auto"/>
          <w:spacing w:val="-4"/>
          <w:sz w:val="28"/>
          <w:szCs w:val="28"/>
        </w:rPr>
        <w:instrText xml:space="preserve"> = 6 \* GB3 </w:instrText>
      </w:r>
      <w:r>
        <w:rPr>
          <w:rFonts w:hint="eastAsia" w:ascii="仿宋_GB2312" w:hAnsi="仿宋_GB2312" w:eastAsia="仿宋_GB2312" w:cs="仿宋_GB2312"/>
          <w:color w:val="auto"/>
          <w:spacing w:val="-4"/>
          <w:sz w:val="28"/>
          <w:szCs w:val="28"/>
        </w:rPr>
        <w:fldChar w:fldCharType="separate"/>
      </w:r>
      <w:r>
        <w:rPr>
          <w:rFonts w:hint="eastAsia" w:ascii="仿宋_GB2312" w:hAnsi="仿宋_GB2312" w:eastAsia="仿宋_GB2312" w:cs="仿宋_GB2312"/>
          <w:color w:val="auto"/>
          <w:spacing w:val="-4"/>
          <w:sz w:val="28"/>
          <w:szCs w:val="28"/>
        </w:rPr>
        <w:t>⑥</w:t>
      </w:r>
      <w:r>
        <w:rPr>
          <w:rFonts w:hint="eastAsia" w:ascii="仿宋_GB2312" w:hAnsi="仿宋_GB2312" w:eastAsia="仿宋_GB2312" w:cs="仿宋_GB2312"/>
          <w:color w:val="auto"/>
          <w:spacing w:val="-4"/>
          <w:sz w:val="28"/>
          <w:szCs w:val="28"/>
        </w:rPr>
        <w:fldChar w:fldCharType="end"/>
      </w:r>
      <w:r>
        <w:rPr>
          <w:rFonts w:hint="eastAsia" w:ascii="仿宋_GB2312" w:hAnsi="仿宋_GB2312" w:eastAsia="仿宋_GB2312" w:cs="仿宋_GB2312"/>
          <w:color w:val="auto"/>
          <w:spacing w:val="-4"/>
          <w:sz w:val="28"/>
          <w:szCs w:val="28"/>
        </w:rPr>
        <w:t xml:space="preserve"> 申请评奖的研究成果存在明显争议；</w:t>
      </w:r>
    </w:p>
    <w:p>
      <w:pPr>
        <w:spacing w:line="576" w:lineRule="exact"/>
        <w:ind w:firstLine="544" w:firstLineChars="200"/>
        <w:rPr>
          <w:rFonts w:hint="eastAsia" w:ascii="仿宋_GB2312" w:hAnsi="仿宋_GB2312" w:eastAsia="仿宋_GB2312" w:cs="仿宋_GB2312"/>
          <w:color w:val="auto"/>
          <w:spacing w:val="-4"/>
          <w:sz w:val="28"/>
          <w:szCs w:val="28"/>
          <w:lang w:eastAsia="zh-CN"/>
        </w:rPr>
      </w:pPr>
      <w:r>
        <w:rPr>
          <w:rFonts w:hint="eastAsia" w:ascii="仿宋_GB2312" w:hAnsi="仿宋_GB2312" w:eastAsia="仿宋_GB2312" w:cs="仿宋_GB2312"/>
          <w:color w:val="auto"/>
          <w:spacing w:val="-4"/>
          <w:sz w:val="28"/>
          <w:szCs w:val="28"/>
        </w:rPr>
        <w:fldChar w:fldCharType="begin"/>
      </w:r>
      <w:r>
        <w:rPr>
          <w:rFonts w:hint="eastAsia" w:ascii="仿宋_GB2312" w:hAnsi="仿宋_GB2312" w:eastAsia="仿宋_GB2312" w:cs="仿宋_GB2312"/>
          <w:color w:val="auto"/>
          <w:spacing w:val="-4"/>
          <w:sz w:val="28"/>
          <w:szCs w:val="28"/>
        </w:rPr>
        <w:instrText xml:space="preserve"> = 7 \* GB3 </w:instrText>
      </w:r>
      <w:r>
        <w:rPr>
          <w:rFonts w:hint="eastAsia" w:ascii="仿宋_GB2312" w:hAnsi="仿宋_GB2312" w:eastAsia="仿宋_GB2312" w:cs="仿宋_GB2312"/>
          <w:color w:val="auto"/>
          <w:spacing w:val="-4"/>
          <w:sz w:val="28"/>
          <w:szCs w:val="28"/>
        </w:rPr>
        <w:fldChar w:fldCharType="separate"/>
      </w:r>
      <w:r>
        <w:rPr>
          <w:rFonts w:hint="eastAsia" w:ascii="仿宋_GB2312" w:hAnsi="仿宋_GB2312" w:eastAsia="仿宋_GB2312" w:cs="仿宋_GB2312"/>
          <w:color w:val="auto"/>
          <w:spacing w:val="-4"/>
          <w:sz w:val="28"/>
          <w:szCs w:val="28"/>
        </w:rPr>
        <w:t>⑦</w:t>
      </w:r>
      <w:r>
        <w:rPr>
          <w:rFonts w:hint="eastAsia" w:ascii="仿宋_GB2312" w:hAnsi="仿宋_GB2312" w:eastAsia="仿宋_GB2312" w:cs="仿宋_GB2312"/>
          <w:color w:val="auto"/>
          <w:spacing w:val="-4"/>
          <w:sz w:val="28"/>
          <w:szCs w:val="28"/>
        </w:rPr>
        <w:fldChar w:fldCharType="end"/>
      </w:r>
      <w:r>
        <w:rPr>
          <w:rFonts w:hint="eastAsia" w:ascii="仿宋_GB2312" w:hAnsi="仿宋_GB2312" w:eastAsia="仿宋_GB2312" w:cs="仿宋_GB2312"/>
          <w:color w:val="auto"/>
          <w:spacing w:val="-4"/>
          <w:sz w:val="28"/>
          <w:szCs w:val="28"/>
        </w:rPr>
        <w:t xml:space="preserve"> 因各种原因退学</w:t>
      </w:r>
      <w:r>
        <w:rPr>
          <w:rFonts w:hint="eastAsia" w:ascii="仿宋_GB2312" w:hAnsi="仿宋_GB2312" w:eastAsia="仿宋_GB2312" w:cs="仿宋_GB2312"/>
          <w:color w:val="auto"/>
          <w:spacing w:val="-4"/>
          <w:sz w:val="28"/>
          <w:szCs w:val="28"/>
          <w:lang w:eastAsia="zh-CN"/>
        </w:rPr>
        <w:t>；</w:t>
      </w:r>
    </w:p>
    <w:p>
      <w:pPr>
        <w:spacing w:line="576" w:lineRule="exact"/>
        <w:ind w:firstLine="544" w:firstLineChars="200"/>
        <w:rPr>
          <w:rFonts w:hint="eastAsia" w:ascii="仿宋_GB2312" w:hAnsi="仿宋_GB2312" w:eastAsia="仿宋_GB2312" w:cs="仿宋_GB2312"/>
          <w:color w:val="auto"/>
          <w:spacing w:val="-4"/>
          <w:sz w:val="28"/>
          <w:szCs w:val="28"/>
          <w:lang w:val="en-US" w:eastAsia="zh-CN"/>
        </w:rPr>
      </w:pPr>
      <w:r>
        <w:rPr>
          <w:rFonts w:hint="eastAsia" w:ascii="仿宋_GB2312" w:hAnsi="仿宋_GB2312" w:eastAsia="仿宋_GB2312" w:cs="仿宋_GB2312"/>
          <w:color w:val="auto"/>
          <w:spacing w:val="-4"/>
          <w:sz w:val="28"/>
          <w:szCs w:val="28"/>
          <w:lang w:val="en-US" w:eastAsia="zh-CN"/>
        </w:rPr>
        <w:fldChar w:fldCharType="begin"/>
      </w:r>
      <w:r>
        <w:rPr>
          <w:rFonts w:hint="eastAsia" w:ascii="仿宋_GB2312" w:hAnsi="仿宋_GB2312" w:eastAsia="仿宋_GB2312" w:cs="仿宋_GB2312"/>
          <w:color w:val="auto"/>
          <w:spacing w:val="-4"/>
          <w:sz w:val="28"/>
          <w:szCs w:val="28"/>
          <w:lang w:val="en-US" w:eastAsia="zh-CN"/>
        </w:rPr>
        <w:instrText xml:space="preserve"> = 8 \* GB3 \* MERGEFORMAT </w:instrText>
      </w:r>
      <w:r>
        <w:rPr>
          <w:rFonts w:hint="eastAsia" w:ascii="仿宋_GB2312" w:hAnsi="仿宋_GB2312" w:eastAsia="仿宋_GB2312" w:cs="仿宋_GB2312"/>
          <w:color w:val="auto"/>
          <w:spacing w:val="-4"/>
          <w:sz w:val="28"/>
          <w:szCs w:val="28"/>
          <w:lang w:val="en-US" w:eastAsia="zh-CN"/>
        </w:rPr>
        <w:fldChar w:fldCharType="separate"/>
      </w:r>
      <w:r>
        <w:rPr>
          <w:rFonts w:hint="eastAsia" w:ascii="仿宋_GB2312" w:hAnsi="仿宋_GB2312" w:eastAsia="仿宋_GB2312" w:cs="仿宋_GB2312"/>
          <w:color w:val="auto"/>
          <w:sz w:val="28"/>
          <w:szCs w:val="28"/>
        </w:rPr>
        <w:t>⑧</w:t>
      </w:r>
      <w:r>
        <w:rPr>
          <w:rFonts w:hint="eastAsia" w:ascii="仿宋_GB2312" w:hAnsi="仿宋_GB2312" w:eastAsia="仿宋_GB2312" w:cs="仿宋_GB2312"/>
          <w:color w:val="auto"/>
          <w:spacing w:val="-4"/>
          <w:sz w:val="28"/>
          <w:szCs w:val="28"/>
          <w:lang w:val="en-US" w:eastAsia="zh-CN"/>
        </w:rPr>
        <w:fldChar w:fldCharType="end"/>
      </w:r>
      <w:r>
        <w:rPr>
          <w:rFonts w:hint="eastAsia" w:ascii="仿宋_GB2312" w:hAnsi="仿宋_GB2312" w:eastAsia="仿宋_GB2312" w:cs="仿宋_GB2312"/>
          <w:color w:val="auto"/>
          <w:spacing w:val="-4"/>
          <w:sz w:val="28"/>
          <w:szCs w:val="28"/>
          <w:lang w:val="en-US" w:eastAsia="zh-CN"/>
        </w:rPr>
        <w:t xml:space="preserve"> 在思想品德方面存在问题的学生，予以一票否决。</w:t>
      </w:r>
    </w:p>
    <w:p>
      <w:pPr>
        <w:spacing w:line="560" w:lineRule="exact"/>
        <w:ind w:firstLine="281" w:firstLineChars="100"/>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lang w:val="en-US" w:eastAsia="zh-CN"/>
        </w:rPr>
        <w:t xml:space="preserve">第七条  </w:t>
      </w:r>
      <w:r>
        <w:rPr>
          <w:rFonts w:hint="eastAsia" w:ascii="仿宋_GB2312" w:hAnsi="仿宋_GB2312" w:eastAsia="仿宋_GB2312" w:cs="仿宋_GB2312"/>
          <w:b w:val="0"/>
          <w:bCs w:val="0"/>
          <w:color w:val="auto"/>
          <w:sz w:val="28"/>
          <w:szCs w:val="28"/>
          <w:highlight w:val="none"/>
        </w:rPr>
        <w:t>新生具体申请条件</w:t>
      </w:r>
    </w:p>
    <w:p>
      <w:pPr>
        <w:spacing w:line="56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1.硕士研究生新生评选方法</w:t>
      </w:r>
    </w:p>
    <w:p>
      <w:pPr>
        <w:spacing w:line="56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硕士研究生新生学业奖学金评选采取量化方式进行评价，共设立三项计分指标，包括硕士研究生入学综合成绩（占25分），本科阶段平均绩点（占20分）和相关奖励加分（占55分），总分100分。按照申请者的分数排名评定（如遇有分值相同的，由学院</w:t>
      </w:r>
      <w:r>
        <w:rPr>
          <w:rFonts w:hint="eastAsia" w:ascii="仿宋_GB2312" w:hAnsi="仿宋_GB2312" w:eastAsia="仿宋_GB2312" w:cs="仿宋_GB2312"/>
          <w:color w:val="auto"/>
          <w:sz w:val="28"/>
          <w:szCs w:val="28"/>
          <w:highlight w:val="none"/>
          <w:lang w:val="en-US" w:eastAsia="zh-CN"/>
        </w:rPr>
        <w:t>奖助学金评审工作小组</w:t>
      </w:r>
      <w:r>
        <w:rPr>
          <w:rFonts w:hint="eastAsia" w:ascii="仿宋_GB2312" w:hAnsi="仿宋_GB2312" w:eastAsia="仿宋_GB2312" w:cs="仿宋_GB2312"/>
          <w:color w:val="auto"/>
          <w:sz w:val="28"/>
          <w:szCs w:val="28"/>
          <w:highlight w:val="none"/>
        </w:rPr>
        <w:t>讨论决定）。</w:t>
      </w:r>
    </w:p>
    <w:p>
      <w:pPr>
        <w:spacing w:line="56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硕士生新生中的推免生第一学年直接获得一等奖学金；</w:t>
      </w:r>
    </w:p>
    <w:p>
      <w:pPr>
        <w:spacing w:line="56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硕士生新生中的博士预备生在硕士在读阶段每一学年直接获得一等奖学金；</w:t>
      </w:r>
    </w:p>
    <w:p>
      <w:pPr>
        <w:spacing w:line="56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其他硕士新生根据入学成绩及入学前各类成果进行评定，具体评分办法详见《华南农业大学材料与能源学院研究生</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新生</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学业奖学金评选工作实施细则》（附件</w:t>
      </w: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w:t>
      </w:r>
    </w:p>
    <w:p>
      <w:pPr>
        <w:spacing w:line="56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2.博士研究生新生评选方法</w:t>
      </w:r>
    </w:p>
    <w:p>
      <w:pPr>
        <w:spacing w:line="56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（1）在本学科领域，曾在SCI收录的正式期刊公开发表与本专业相关的影响因子5.0以上的学术论文。</w:t>
      </w:r>
    </w:p>
    <w:p>
      <w:pPr>
        <w:spacing w:line="56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（2）获得省级优秀硕士学位论文。</w:t>
      </w:r>
    </w:p>
    <w:p>
      <w:pPr>
        <w:spacing w:line="56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满足以上条件优先评选一等奖学金，如符合条件人数超过学院一等奖学金名额，则按照《华南农业大学材料与能源学院研究生</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新生</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学业奖学金评选工作实施细则》（附件</w:t>
      </w: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）进行计分，根据排名先后确定获奖名单。</w:t>
      </w:r>
    </w:p>
    <w:p>
      <w:pPr>
        <w:spacing w:line="560" w:lineRule="exact"/>
        <w:ind w:firstLine="562"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lang w:val="en-US" w:eastAsia="zh-CN"/>
        </w:rPr>
        <w:t xml:space="preserve">第八条  </w:t>
      </w:r>
      <w:r>
        <w:rPr>
          <w:rFonts w:hint="eastAsia" w:ascii="仿宋_GB2312" w:hAnsi="仿宋_GB2312" w:eastAsia="仿宋_GB2312" w:cs="仿宋_GB2312"/>
          <w:b w:val="0"/>
          <w:bCs w:val="0"/>
          <w:color w:val="auto"/>
          <w:sz w:val="28"/>
          <w:szCs w:val="28"/>
          <w:highlight w:val="none"/>
          <w:lang w:val="en-US" w:eastAsia="zh-CN"/>
        </w:rPr>
        <w:t>非新生</w:t>
      </w:r>
      <w:r>
        <w:rPr>
          <w:rFonts w:hint="eastAsia" w:ascii="仿宋_GB2312" w:hAnsi="仿宋_GB2312" w:eastAsia="仿宋_GB2312" w:cs="仿宋_GB2312"/>
          <w:b w:val="0"/>
          <w:bCs w:val="0"/>
          <w:color w:val="auto"/>
          <w:sz w:val="28"/>
          <w:szCs w:val="28"/>
          <w:highlight w:val="none"/>
        </w:rPr>
        <w:t>具体申请条件</w:t>
      </w:r>
    </w:p>
    <w:p>
      <w:pPr>
        <w:spacing w:line="56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1.作风正派，团结友善，尊敬师长，积极参加集体活动、公益活动和社会实践。</w:t>
      </w:r>
    </w:p>
    <w:p>
      <w:pPr>
        <w:spacing w:line="56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2.学习勤奋、学风严谨，修读完成培养计划的当学年课程，成绩优良，有一定的研究成果。</w:t>
      </w:r>
    </w:p>
    <w:p>
      <w:pPr>
        <w:spacing w:line="56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3.具体加减分细则详《华南农业大学材料与能源学院研究生</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非新生</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学业奖学金评选工作实施细则》（附件</w:t>
      </w: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w:t>
      </w:r>
    </w:p>
    <w:p>
      <w:pPr>
        <w:spacing w:line="560" w:lineRule="exact"/>
        <w:ind w:firstLine="560" w:firstLineChars="200"/>
        <w:rPr>
          <w:rFonts w:hint="eastAsia" w:ascii="仿宋_GB2312" w:hAnsi="仿宋_GB2312" w:eastAsia="仿宋_GB2312" w:cs="仿宋_GB2312"/>
          <w:color w:val="auto"/>
          <w:sz w:val="28"/>
          <w:szCs w:val="28"/>
          <w:highlight w:val="none"/>
        </w:rPr>
      </w:pPr>
    </w:p>
    <w:p>
      <w:pPr>
        <w:spacing w:line="560" w:lineRule="exact"/>
        <w:jc w:val="center"/>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32"/>
          <w:szCs w:val="32"/>
          <w:highlight w:val="none"/>
          <w:lang w:val="en-US" w:eastAsia="zh-CN"/>
        </w:rPr>
        <w:t xml:space="preserve">第四章 </w:t>
      </w:r>
      <w:r>
        <w:rPr>
          <w:rFonts w:hint="eastAsia" w:ascii="仿宋_GB2312" w:hAnsi="仿宋_GB2312" w:eastAsia="仿宋_GB2312" w:cs="仿宋_GB2312"/>
          <w:b/>
          <w:bCs/>
          <w:color w:val="auto"/>
          <w:sz w:val="32"/>
          <w:szCs w:val="32"/>
          <w:highlight w:val="none"/>
        </w:rPr>
        <w:t>评审组织与程序</w:t>
      </w:r>
    </w:p>
    <w:p>
      <w:pPr>
        <w:spacing w:line="560" w:lineRule="exact"/>
        <w:ind w:firstLine="562"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lang w:val="en-US" w:eastAsia="zh-CN"/>
        </w:rPr>
        <w:t>第九条</w:t>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rPr>
        <w:t>评审组织与程序</w:t>
      </w:r>
    </w:p>
    <w:p>
      <w:pPr>
        <w:spacing w:line="56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一</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学院成立研究生奖助学金评审工作小组，由学院党委书记担任组长，成员由学院党政领导、</w:t>
      </w:r>
      <w:r>
        <w:rPr>
          <w:rFonts w:hint="eastAsia" w:ascii="仿宋_GB2312" w:hAnsi="仿宋_GB2312" w:eastAsia="仿宋_GB2312" w:cs="仿宋_GB2312"/>
          <w:color w:val="auto"/>
          <w:sz w:val="28"/>
          <w:szCs w:val="28"/>
          <w:highlight w:val="none"/>
          <w:lang w:val="en-US" w:eastAsia="zh-CN"/>
        </w:rPr>
        <w:t>研究生</w:t>
      </w:r>
      <w:r>
        <w:rPr>
          <w:rFonts w:hint="eastAsia" w:ascii="仿宋_GB2312" w:hAnsi="仿宋_GB2312" w:eastAsia="仿宋_GB2312" w:cs="仿宋_GB2312"/>
          <w:color w:val="auto"/>
          <w:sz w:val="28"/>
          <w:szCs w:val="28"/>
          <w:highlight w:val="none"/>
        </w:rPr>
        <w:t>辅导员、研究生导师代表和研究生代表组成。学院评审工作小组负责学院国家奖助学金的评审工作，对学院学生名单进行初步审查</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评审及上报工作，受理申诉事宜。</w:t>
      </w:r>
    </w:p>
    <w:p>
      <w:pPr>
        <w:spacing w:line="56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二</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班级成立学业奖学金评议小组，班长任</w:t>
      </w:r>
      <w:r>
        <w:rPr>
          <w:rFonts w:hint="eastAsia" w:ascii="仿宋_GB2312" w:hAnsi="仿宋_GB2312" w:eastAsia="仿宋_GB2312" w:cs="仿宋_GB2312"/>
          <w:color w:val="auto"/>
          <w:sz w:val="28"/>
          <w:szCs w:val="28"/>
          <w:highlight w:val="none"/>
          <w:lang w:val="en-US" w:eastAsia="zh-CN"/>
        </w:rPr>
        <w:t>组长</w:t>
      </w:r>
      <w:r>
        <w:rPr>
          <w:rFonts w:hint="eastAsia" w:ascii="仿宋_GB2312" w:hAnsi="仿宋_GB2312" w:eastAsia="仿宋_GB2312" w:cs="仿宋_GB2312"/>
          <w:color w:val="auto"/>
          <w:sz w:val="28"/>
          <w:szCs w:val="28"/>
          <w:highlight w:val="none"/>
        </w:rPr>
        <w:t>、成员由</w:t>
      </w:r>
      <w:r>
        <w:rPr>
          <w:rFonts w:hint="eastAsia" w:ascii="仿宋_GB2312" w:hAnsi="仿宋_GB2312" w:eastAsia="仿宋_GB2312" w:cs="仿宋_GB2312"/>
          <w:color w:val="auto"/>
          <w:sz w:val="28"/>
          <w:szCs w:val="28"/>
          <w:highlight w:val="none"/>
          <w:lang w:val="en-US" w:eastAsia="zh-CN"/>
        </w:rPr>
        <w:t>班委</w:t>
      </w:r>
      <w:r>
        <w:rPr>
          <w:rFonts w:hint="eastAsia" w:ascii="仿宋_GB2312" w:hAnsi="仿宋_GB2312" w:eastAsia="仿宋_GB2312" w:cs="仿宋_GB2312"/>
          <w:color w:val="auto"/>
          <w:sz w:val="28"/>
          <w:szCs w:val="28"/>
          <w:highlight w:val="none"/>
        </w:rPr>
        <w:t>、学生代表组成，男女至少各有一名。负责班级学业奖学金的材料审核、统计及上报工作</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以及班级材料互评</w:t>
      </w:r>
      <w:r>
        <w:rPr>
          <w:rFonts w:hint="eastAsia" w:ascii="仿宋_GB2312" w:hAnsi="仿宋_GB2312" w:eastAsia="仿宋_GB2312" w:cs="仿宋_GB2312"/>
          <w:color w:val="auto"/>
          <w:sz w:val="28"/>
          <w:szCs w:val="28"/>
          <w:highlight w:val="none"/>
        </w:rPr>
        <w:t>。</w:t>
      </w:r>
    </w:p>
    <w:p>
      <w:pPr>
        <w:spacing w:line="56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三</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研究生学业奖学金的评审程序：</w:t>
      </w:r>
    </w:p>
    <w:p>
      <w:pPr>
        <w:spacing w:line="560" w:lineRule="exact"/>
        <w:ind w:firstLine="560" w:firstLineChars="200"/>
        <w:rPr>
          <w:rFonts w:hint="eastAsia" w:ascii="仿宋_GB2312" w:hAnsi="仿宋_GB2312" w:eastAsia="仿宋_GB2312" w:cs="仿宋_GB2312"/>
          <w:color w:val="auto"/>
          <w:sz w:val="28"/>
          <w:szCs w:val="28"/>
          <w:highlight w:val="none"/>
          <w:lang w:val="en-US" w:eastAsia="zh-CN"/>
        </w:rPr>
      </w:pPr>
      <w:r>
        <w:rPr>
          <w:rFonts w:ascii="仿宋_GB2312" w:hAnsi="仿宋_GB2312" w:eastAsia="仿宋_GB2312" w:cs="仿宋_GB2312"/>
          <w:i w:val="0"/>
          <w:iCs w:val="0"/>
          <w:caps w:val="0"/>
          <w:color w:val="auto"/>
          <w:spacing w:val="0"/>
          <w:sz w:val="28"/>
          <w:szCs w:val="28"/>
          <w:shd w:val="clear" w:fill="FFFFFF"/>
        </w:rPr>
        <w:t>（</w:t>
      </w:r>
      <w:r>
        <w:rPr>
          <w:rFonts w:hint="eastAsia" w:ascii="仿宋_GB2312" w:hAnsi="仿宋_GB2312" w:eastAsia="仿宋_GB2312" w:cs="仿宋_GB2312"/>
          <w:i w:val="0"/>
          <w:iCs w:val="0"/>
          <w:caps w:val="0"/>
          <w:color w:val="auto"/>
          <w:spacing w:val="0"/>
          <w:sz w:val="28"/>
          <w:szCs w:val="28"/>
          <w:shd w:val="clear" w:fill="FFFFFF"/>
          <w:lang w:val="en-US" w:eastAsia="zh-CN"/>
        </w:rPr>
        <w:t>1</w:t>
      </w:r>
      <w:r>
        <w:rPr>
          <w:rFonts w:ascii="仿宋_GB2312" w:hAnsi="仿宋_GB2312" w:eastAsia="仿宋_GB2312" w:cs="仿宋_GB2312"/>
          <w:i w:val="0"/>
          <w:iCs w:val="0"/>
          <w:caps w:val="0"/>
          <w:color w:val="auto"/>
          <w:spacing w:val="0"/>
          <w:sz w:val="28"/>
          <w:szCs w:val="28"/>
          <w:shd w:val="clear" w:fill="FFFFFF"/>
        </w:rPr>
        <w:t>）学院根据学校相关规定公布评选奖项类别、申报条件及名额；</w:t>
      </w:r>
    </w:p>
    <w:p>
      <w:pPr>
        <w:spacing w:line="56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个人申请。拟申请者在规定期限内按要求填写学业奖学金申请登记表及</w:t>
      </w:r>
      <w:r>
        <w:rPr>
          <w:rFonts w:hint="eastAsia" w:ascii="仿宋_GB2312" w:hAnsi="仿宋_GB2312" w:eastAsia="仿宋_GB2312" w:cs="仿宋_GB2312"/>
          <w:color w:val="auto"/>
          <w:sz w:val="28"/>
          <w:szCs w:val="28"/>
          <w:highlight w:val="none"/>
          <w:lang w:val="en-US" w:eastAsia="zh-CN"/>
        </w:rPr>
        <w:t>提交</w:t>
      </w:r>
      <w:r>
        <w:rPr>
          <w:rFonts w:hint="eastAsia" w:ascii="仿宋_GB2312" w:hAnsi="仿宋_GB2312" w:eastAsia="仿宋_GB2312" w:cs="仿宋_GB2312"/>
          <w:color w:val="auto"/>
          <w:sz w:val="28"/>
          <w:szCs w:val="28"/>
          <w:highlight w:val="none"/>
        </w:rPr>
        <w:t>相关</w:t>
      </w:r>
      <w:r>
        <w:rPr>
          <w:rFonts w:hint="eastAsia" w:ascii="仿宋_GB2312" w:hAnsi="仿宋_GB2312" w:eastAsia="仿宋_GB2312" w:cs="仿宋_GB2312"/>
          <w:color w:val="auto"/>
          <w:sz w:val="28"/>
          <w:szCs w:val="28"/>
          <w:highlight w:val="none"/>
          <w:lang w:val="en-US" w:eastAsia="zh-CN"/>
        </w:rPr>
        <w:t>证明</w:t>
      </w:r>
      <w:r>
        <w:rPr>
          <w:rFonts w:hint="eastAsia" w:ascii="仿宋_GB2312" w:hAnsi="仿宋_GB2312" w:eastAsia="仿宋_GB2312" w:cs="仿宋_GB2312"/>
          <w:color w:val="auto"/>
          <w:sz w:val="28"/>
          <w:szCs w:val="28"/>
          <w:highlight w:val="none"/>
        </w:rPr>
        <w:t>材料，向</w:t>
      </w:r>
      <w:r>
        <w:rPr>
          <w:rFonts w:hint="eastAsia" w:ascii="仿宋_GB2312" w:hAnsi="仿宋_GB2312" w:eastAsia="仿宋_GB2312" w:cs="仿宋_GB2312"/>
          <w:color w:val="auto"/>
          <w:sz w:val="28"/>
          <w:szCs w:val="28"/>
          <w:highlight w:val="none"/>
          <w:lang w:val="en-US" w:eastAsia="zh-CN"/>
        </w:rPr>
        <w:t>学院奖助学金评审工作小组</w:t>
      </w:r>
      <w:r>
        <w:rPr>
          <w:rFonts w:hint="eastAsia" w:ascii="仿宋_GB2312" w:hAnsi="仿宋_GB2312" w:eastAsia="仿宋_GB2312" w:cs="仿宋_GB2312"/>
          <w:color w:val="auto"/>
          <w:sz w:val="28"/>
          <w:szCs w:val="28"/>
          <w:highlight w:val="none"/>
        </w:rPr>
        <w:t>提出申请。逾期未申请者视为自动放弃</w:t>
      </w:r>
      <w:r>
        <w:rPr>
          <w:rFonts w:hint="eastAsia" w:ascii="仿宋_GB2312" w:hAnsi="仿宋_GB2312" w:eastAsia="仿宋_GB2312" w:cs="仿宋_GB2312"/>
          <w:color w:val="auto"/>
          <w:sz w:val="28"/>
          <w:szCs w:val="28"/>
          <w:highlight w:val="none"/>
          <w:lang w:val="en-US" w:eastAsia="zh-CN"/>
        </w:rPr>
        <w:t>申请学业奖学金</w:t>
      </w:r>
      <w:r>
        <w:rPr>
          <w:rFonts w:hint="eastAsia" w:ascii="仿宋_GB2312" w:hAnsi="仿宋_GB2312" w:eastAsia="仿宋_GB2312" w:cs="仿宋_GB2312"/>
          <w:color w:val="auto"/>
          <w:sz w:val="28"/>
          <w:szCs w:val="28"/>
          <w:highlight w:val="none"/>
        </w:rPr>
        <w:t>，责任自负</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并且不予补交。</w:t>
      </w:r>
    </w:p>
    <w:p>
      <w:pPr>
        <w:spacing w:line="560" w:lineRule="exact"/>
        <w:ind w:firstLine="560" w:firstLineChars="200"/>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学生个人应对所提交的证明材料负责，并提前准备完整。申请材料一旦截止提交，不再接受补交任何证明材料、或更新材料；所有提交的证明材料均必须加盖公章。</w:t>
      </w:r>
    </w:p>
    <w:p>
      <w:pPr>
        <w:spacing w:line="560" w:lineRule="exact"/>
        <w:ind w:firstLine="560" w:firstLineChars="200"/>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学生申请加分的项目，须按照自我评价明细表上德育加分、课程成绩加分、科研加分等相应的加分类别以及各项细化的加分项目进行如实登记，重复填报、错填、误填、挪用到非对应加分类别或加分项目的，不予加分。</w:t>
      </w:r>
    </w:p>
    <w:p>
      <w:pPr>
        <w:spacing w:line="56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班级审核。班级评议小组组织互评、审核相关材料，统计成绩，并将结果在班级同学中进行公示。</w:t>
      </w:r>
    </w:p>
    <w:p>
      <w:pPr>
        <w:spacing w:line="560" w:lineRule="exact"/>
        <w:ind w:firstLine="560" w:firstLineChars="200"/>
        <w:rPr>
          <w:rFonts w:hint="default"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4</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年级审核</w:t>
      </w:r>
      <w:r>
        <w:rPr>
          <w:rFonts w:hint="eastAsia" w:ascii="仿宋_GB2312" w:hAnsi="仿宋_GB2312" w:eastAsia="仿宋_GB2312" w:cs="仿宋_GB2312"/>
          <w:color w:val="auto"/>
          <w:sz w:val="28"/>
          <w:szCs w:val="28"/>
          <w:highlight w:val="none"/>
        </w:rPr>
        <w:t>。学院</w:t>
      </w:r>
      <w:r>
        <w:rPr>
          <w:rFonts w:hint="eastAsia" w:ascii="仿宋_GB2312" w:hAnsi="仿宋_GB2312" w:eastAsia="仿宋_GB2312" w:cs="仿宋_GB2312"/>
          <w:color w:val="auto"/>
          <w:sz w:val="28"/>
          <w:szCs w:val="28"/>
          <w:highlight w:val="none"/>
          <w:lang w:val="en-US" w:eastAsia="zh-CN"/>
        </w:rPr>
        <w:t>奖助学金评审工作小组</w:t>
      </w:r>
      <w:r>
        <w:rPr>
          <w:rFonts w:hint="eastAsia" w:ascii="仿宋_GB2312" w:hAnsi="仿宋_GB2312" w:eastAsia="仿宋_GB2312" w:cs="仿宋_GB2312"/>
          <w:color w:val="auto"/>
          <w:sz w:val="28"/>
          <w:szCs w:val="28"/>
          <w:highlight w:val="none"/>
        </w:rPr>
        <w:t>按照公开、公平、公正、择优的原则，</w:t>
      </w:r>
      <w:r>
        <w:rPr>
          <w:rFonts w:hint="eastAsia" w:ascii="仿宋_GB2312" w:hAnsi="仿宋_GB2312" w:eastAsia="仿宋_GB2312" w:cs="仿宋_GB2312"/>
          <w:color w:val="auto"/>
          <w:sz w:val="28"/>
          <w:szCs w:val="28"/>
          <w:highlight w:val="none"/>
          <w:lang w:val="en-US" w:eastAsia="zh-CN"/>
        </w:rPr>
        <w:t>组织研究生会、团委工作人员、团支书、班长等</w:t>
      </w:r>
      <w:r>
        <w:rPr>
          <w:rFonts w:hint="eastAsia" w:ascii="仿宋_GB2312" w:hAnsi="仿宋_GB2312" w:eastAsia="仿宋_GB2312" w:cs="仿宋_GB2312"/>
          <w:color w:val="auto"/>
          <w:sz w:val="28"/>
          <w:szCs w:val="28"/>
          <w:highlight w:val="none"/>
        </w:rPr>
        <w:t>对申请学业奖学金研究生进行</w:t>
      </w:r>
      <w:r>
        <w:rPr>
          <w:rFonts w:hint="eastAsia" w:ascii="仿宋_GB2312" w:hAnsi="仿宋_GB2312" w:eastAsia="仿宋_GB2312" w:cs="仿宋_GB2312"/>
          <w:color w:val="auto"/>
          <w:sz w:val="28"/>
          <w:szCs w:val="28"/>
          <w:highlight w:val="none"/>
          <w:lang w:val="en-US" w:eastAsia="zh-CN"/>
        </w:rPr>
        <w:t>年级审核</w:t>
      </w: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val="en-US" w:eastAsia="zh-CN"/>
        </w:rPr>
        <w:t>年级审核后，班级审核小组将分数反馈给个人。</w:t>
      </w:r>
    </w:p>
    <w:p>
      <w:pPr>
        <w:spacing w:line="56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5</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公示初评结果。</w:t>
      </w:r>
      <w:r>
        <w:rPr>
          <w:rFonts w:hint="eastAsia" w:ascii="仿宋_GB2312" w:hAnsi="仿宋_GB2312" w:eastAsia="仿宋_GB2312" w:cs="仿宋_GB2312"/>
          <w:color w:val="auto"/>
          <w:sz w:val="28"/>
          <w:szCs w:val="28"/>
          <w:highlight w:val="none"/>
        </w:rPr>
        <w:t>评审结果应进行不少于</w:t>
      </w: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个工作日的公示</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公示期间，如对审核结果有异议的，可在规定时间内申请复核</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无异议后奖相关材料和汇总表上报学校评审领导小组。</w:t>
      </w:r>
    </w:p>
    <w:p>
      <w:pPr>
        <w:spacing w:line="560" w:lineRule="exact"/>
        <w:ind w:firstLine="560" w:firstLineChars="200"/>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6</w:t>
      </w:r>
      <w:r>
        <w:rPr>
          <w:rFonts w:hint="eastAsia" w:ascii="仿宋_GB2312" w:hAnsi="仿宋_GB2312" w:eastAsia="仿宋_GB2312" w:cs="仿宋_GB2312"/>
          <w:color w:val="auto"/>
          <w:sz w:val="28"/>
          <w:szCs w:val="28"/>
          <w:highlight w:val="none"/>
          <w:lang w:eastAsia="zh-CN"/>
        </w:rPr>
        <w:t>）学院评审委员会审定，公示测评结果及获奖候选人材料。</w:t>
      </w:r>
    </w:p>
    <w:p>
      <w:pPr>
        <w:spacing w:line="560" w:lineRule="exact"/>
        <w:ind w:firstLine="560" w:firstLineChars="200"/>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7</w:t>
      </w:r>
      <w:r>
        <w:rPr>
          <w:rFonts w:hint="eastAsia" w:ascii="仿宋_GB2312" w:hAnsi="仿宋_GB2312" w:eastAsia="仿宋_GB2312" w:cs="仿宋_GB2312"/>
          <w:color w:val="auto"/>
          <w:sz w:val="28"/>
          <w:szCs w:val="28"/>
          <w:highlight w:val="none"/>
          <w:lang w:eastAsia="zh-CN"/>
        </w:rPr>
        <w:t>）获奖同学按要求填写存档材料。</w:t>
      </w:r>
    </w:p>
    <w:p>
      <w:pPr>
        <w:spacing w:line="560" w:lineRule="exact"/>
        <w:ind w:firstLine="560" w:firstLineChars="200"/>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8</w:t>
      </w:r>
      <w:r>
        <w:rPr>
          <w:rFonts w:hint="eastAsia" w:ascii="仿宋_GB2312" w:hAnsi="仿宋_GB2312" w:eastAsia="仿宋_GB2312" w:cs="仿宋_GB2312"/>
          <w:color w:val="auto"/>
          <w:sz w:val="28"/>
          <w:szCs w:val="28"/>
          <w:highlight w:val="none"/>
          <w:lang w:eastAsia="zh-CN"/>
        </w:rPr>
        <w:t>）报学校党委学生工作部（党委研究生工作部）审核，学校批准。</w:t>
      </w:r>
      <w:r>
        <w:rPr>
          <w:rFonts w:hint="eastAsia" w:ascii="仿宋_GB2312" w:hAnsi="仿宋_GB2312" w:eastAsia="仿宋_GB2312" w:cs="仿宋_GB2312"/>
          <w:color w:val="auto"/>
          <w:sz w:val="28"/>
          <w:szCs w:val="28"/>
          <w:highlight w:val="none"/>
        </w:rPr>
        <w:t>在学校公示阶段有异议的，可在全校公示期间向学校评审领导小组提请裁决。</w:t>
      </w:r>
    </w:p>
    <w:p>
      <w:pPr>
        <w:spacing w:line="560" w:lineRule="exact"/>
        <w:ind w:firstLine="560" w:firstLineChars="200"/>
        <w:rPr>
          <w:rFonts w:hint="eastAsia" w:ascii="仿宋_GB2312" w:hAnsi="仿宋_GB2312" w:eastAsia="仿宋_GB2312" w:cs="仿宋_GB2312"/>
          <w:color w:val="auto"/>
          <w:sz w:val="28"/>
          <w:szCs w:val="28"/>
          <w:highlight w:val="none"/>
        </w:rPr>
      </w:pPr>
    </w:p>
    <w:p>
      <w:pPr>
        <w:spacing w:line="560" w:lineRule="exact"/>
        <w:jc w:val="center"/>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32"/>
          <w:szCs w:val="32"/>
          <w:highlight w:val="none"/>
          <w:lang w:val="en-US" w:eastAsia="zh-CN"/>
        </w:rPr>
        <w:t xml:space="preserve">第五章 </w:t>
      </w:r>
      <w:r>
        <w:rPr>
          <w:rFonts w:hint="eastAsia" w:ascii="仿宋_GB2312" w:hAnsi="仿宋_GB2312" w:eastAsia="仿宋_GB2312" w:cs="仿宋_GB2312"/>
          <w:b/>
          <w:bCs/>
          <w:color w:val="auto"/>
          <w:sz w:val="32"/>
          <w:szCs w:val="32"/>
          <w:highlight w:val="none"/>
        </w:rPr>
        <w:t>评</w:t>
      </w:r>
      <w:r>
        <w:rPr>
          <w:rFonts w:hint="eastAsia" w:ascii="仿宋_GB2312" w:hAnsi="仿宋_GB2312" w:eastAsia="仿宋_GB2312" w:cs="仿宋_GB2312"/>
          <w:b/>
          <w:bCs/>
          <w:color w:val="auto"/>
          <w:sz w:val="32"/>
          <w:szCs w:val="32"/>
          <w:highlight w:val="none"/>
          <w:lang w:val="en-US" w:eastAsia="zh-CN"/>
        </w:rPr>
        <w:t>选要求</w:t>
      </w:r>
    </w:p>
    <w:p>
      <w:pPr>
        <w:spacing w:line="560" w:lineRule="exact"/>
        <w:ind w:firstLine="562"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lang w:val="en-US" w:eastAsia="zh-CN"/>
        </w:rPr>
        <w:t>第十条</w:t>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rPr>
        <w:t>评选要求</w:t>
      </w:r>
    </w:p>
    <w:p>
      <w:pPr>
        <w:spacing w:line="560" w:lineRule="exact"/>
        <w:ind w:firstLine="560" w:firstLineChars="200"/>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一</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参评者提供的材料必须真实可信，如有弄虚作假，取消参评资格，并视其造成的影响按学校有关规定处理。</w:t>
      </w:r>
      <w:r>
        <w:rPr>
          <w:rFonts w:hint="eastAsia" w:ascii="仿宋_GB2312" w:hAnsi="仿宋_GB2312" w:eastAsia="仿宋_GB2312" w:cs="仿宋_GB2312"/>
          <w:color w:val="auto"/>
          <w:sz w:val="28"/>
          <w:szCs w:val="28"/>
          <w:highlight w:val="none"/>
          <w:lang w:val="en-US" w:eastAsia="zh-CN"/>
        </w:rPr>
        <w:t>个别申请加分项目均须依据各类专项实施办法或实施细则标准进行申请，如青年大学习网上主题团课实施办法、研究生体育队伍管理办法等。</w:t>
      </w:r>
    </w:p>
    <w:p>
      <w:pPr>
        <w:spacing w:line="56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二</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直博生以博士生新生身份参与学业奖学金的评选。</w:t>
      </w:r>
    </w:p>
    <w:p>
      <w:pPr>
        <w:spacing w:line="56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三</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参评研究成果界定。</w:t>
      </w:r>
    </w:p>
    <w:p>
      <w:pPr>
        <w:spacing w:line="56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发表论文及专著、申请专利、所获奖励等材料原件（现场审核用）及复印件一式一份。</w:t>
      </w:r>
    </w:p>
    <w:p>
      <w:pPr>
        <w:spacing w:line="560" w:lineRule="exact"/>
        <w:ind w:firstLine="560" w:firstLineChars="200"/>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rPr>
        <w:t>SCI、EI收录的正式刊物论文，以图书馆出具的最新收录证明为准</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且收录证明原则上必须在参评当年的8月31日前开具，</w:t>
      </w:r>
      <w:r>
        <w:rPr>
          <w:rFonts w:hint="eastAsia" w:ascii="仿宋_GB2312" w:hAnsi="仿宋_GB2312" w:eastAsia="仿宋_GB2312" w:cs="仿宋_GB2312"/>
          <w:b w:val="0"/>
          <w:bCs w:val="0"/>
          <w:color w:val="auto"/>
          <w:sz w:val="28"/>
          <w:szCs w:val="28"/>
          <w:highlight w:val="none"/>
          <w:lang w:val="en-US" w:eastAsia="zh-CN"/>
        </w:rPr>
        <w:t>无法开具图书馆检索收录证明的论文（即未被收录），不予加分。</w:t>
      </w:r>
      <w:r>
        <w:rPr>
          <w:rFonts w:hint="eastAsia" w:ascii="仿宋_GB2312" w:hAnsi="仿宋_GB2312" w:eastAsia="仿宋_GB2312" w:cs="仿宋_GB2312"/>
          <w:color w:val="auto"/>
          <w:sz w:val="28"/>
          <w:szCs w:val="28"/>
          <w:highlight w:val="none"/>
          <w:lang w:val="en-US" w:eastAsia="zh-CN"/>
        </w:rPr>
        <w:t>若图书馆收录证明落款时间晚于8月31日，或缺乏有效的收录证明材料，则不予加分</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新生收录检索证明在提交奖学金申请材料前提供。</w:t>
      </w:r>
    </w:p>
    <w:p>
      <w:pPr>
        <w:spacing w:line="56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中文期刊以见刊为准。</w:t>
      </w:r>
      <w:r>
        <w:rPr>
          <w:rFonts w:hint="eastAsia" w:ascii="仿宋_GB2312" w:hAnsi="仿宋_GB2312" w:eastAsia="仿宋_GB2312" w:cs="仿宋_GB2312"/>
          <w:color w:val="auto"/>
          <w:sz w:val="28"/>
          <w:szCs w:val="28"/>
          <w:highlight w:val="none"/>
        </w:rPr>
        <w:t>中文核心期刊以北京大学出版社《中文核心期刊要目总览》（最新版）为准，CSSCI期刊以中文社会科学引文索引（CSSCI最新版）来源期刊为准。</w:t>
      </w:r>
    </w:p>
    <w:p>
      <w:pPr>
        <w:spacing w:line="560" w:lineRule="exact"/>
        <w:ind w:firstLine="560" w:firstLineChars="200"/>
        <w:rPr>
          <w:rFonts w:hint="eastAsia" w:ascii="仿宋_GB2312" w:hAnsi="仿宋_GB2312" w:eastAsia="仿宋_GB2312" w:cs="仿宋_GB2312"/>
          <w:color w:val="auto"/>
          <w:sz w:val="28"/>
          <w:szCs w:val="28"/>
          <w:highlight w:val="yellow"/>
        </w:rPr>
      </w:pPr>
      <w:r>
        <w:rPr>
          <w:rFonts w:hint="eastAsia" w:ascii="仿宋_GB2312" w:hAnsi="仿宋_GB2312" w:eastAsia="仿宋_GB2312" w:cs="仿宋_GB2312"/>
          <w:color w:val="auto"/>
          <w:sz w:val="28"/>
          <w:szCs w:val="28"/>
          <w:highlight w:val="none"/>
        </w:rPr>
        <w:t>发明专利原则上以正式授权的发明专利证书为准</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具体要求参看非新生学业奖学金实施细则</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w:t>
      </w:r>
    </w:p>
    <w:p>
      <w:pPr>
        <w:spacing w:line="560" w:lineRule="exact"/>
        <w:ind w:firstLine="560" w:firstLineChars="200"/>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rPr>
        <w:t>实用新型</w:t>
      </w:r>
      <w:r>
        <w:rPr>
          <w:rFonts w:hint="eastAsia" w:ascii="仿宋_GB2312" w:hAnsi="仿宋_GB2312" w:eastAsia="仿宋_GB2312" w:cs="仿宋_GB2312"/>
          <w:color w:val="auto"/>
          <w:sz w:val="28"/>
          <w:szCs w:val="28"/>
          <w:highlight w:val="none"/>
          <w:lang w:val="en-US" w:eastAsia="zh-CN"/>
        </w:rPr>
        <w:t>专利</w:t>
      </w:r>
      <w:r>
        <w:rPr>
          <w:rFonts w:hint="eastAsia" w:ascii="仿宋_GB2312" w:hAnsi="仿宋_GB2312" w:eastAsia="仿宋_GB2312" w:cs="仿宋_GB2312"/>
          <w:color w:val="auto"/>
          <w:sz w:val="28"/>
          <w:szCs w:val="28"/>
          <w:highlight w:val="none"/>
        </w:rPr>
        <w:t>、外观设计专利以专利授权公布时间为准（即正式的专利证书）。研究生老生参评研究成果必须以“华南农业大学”为第一署名单位</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新老生论文成果必须为第一作者（共同一作只有排名第一）才可加分。</w:t>
      </w:r>
    </w:p>
    <w:p>
      <w:pPr>
        <w:numPr>
          <w:ilvl w:val="0"/>
          <w:numId w:val="0"/>
        </w:numPr>
        <w:spacing w:line="56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四</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参评研究成果时间界定。学业奖学金按年度开展，研究成果采取年度制计算。博士新生申请学业奖学金的研究成果应为硕士期间至参评当年度8月31日前所获得的研究成果。硕士新生申请学业奖学金的研究成果应为本科期间至参评当年度8月31日前所获得的研究成果。老生申请学业奖学金的研究成果应为上一年度9月1日至本年度8月31日。研究成果不得重复使用。</w:t>
      </w:r>
    </w:p>
    <w:p>
      <w:pPr>
        <w:numPr>
          <w:ilvl w:val="0"/>
          <w:numId w:val="0"/>
        </w:numPr>
        <w:spacing w:line="560" w:lineRule="exact"/>
        <w:ind w:firstLine="560" w:firstLineChars="200"/>
        <w:rPr>
          <w:rFonts w:hint="eastAsia" w:ascii="仿宋_GB2312" w:hAnsi="仿宋_GB2312" w:eastAsia="仿宋_GB2312" w:cs="仿宋_GB2312"/>
          <w:color w:val="auto"/>
          <w:kern w:val="0"/>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（五）科技竞赛（或学科竞赛）、</w:t>
      </w:r>
      <w:r>
        <w:rPr>
          <w:rFonts w:hint="eastAsia" w:ascii="仿宋_GB2312" w:hAnsi="仿宋_GB2312" w:eastAsia="仿宋_GB2312" w:cs="仿宋_GB2312"/>
          <w:color w:val="auto"/>
          <w:kern w:val="0"/>
          <w:sz w:val="28"/>
          <w:szCs w:val="28"/>
          <w:highlight w:val="none"/>
          <w:lang w:val="en-US" w:eastAsia="zh-CN"/>
        </w:rPr>
        <w:t>文化艺术竞赛、体育竞赛具体名单原则上以《华南农业大学学生竞赛奖励办法》（华南农办〔2022〕38 号）中附件《科技竞赛奖励名录》、《文化艺术竞赛活动奖励名录》、《体育竞赛奖励名录》为主要参考。</w:t>
      </w:r>
    </w:p>
    <w:p>
      <w:pPr>
        <w:numPr>
          <w:ilvl w:val="0"/>
          <w:numId w:val="0"/>
        </w:numPr>
        <w:spacing w:line="560" w:lineRule="exact"/>
        <w:ind w:firstLine="560" w:firstLineChars="200"/>
        <w:rPr>
          <w:rFonts w:hint="default" w:ascii="仿宋_GB2312" w:hAnsi="仿宋_GB2312" w:eastAsia="仿宋_GB2312" w:cs="仿宋_GB2312"/>
          <w:color w:val="auto"/>
          <w:kern w:val="0"/>
          <w:sz w:val="28"/>
          <w:szCs w:val="28"/>
          <w:highlight w:val="none"/>
          <w:lang w:val="en-US" w:eastAsia="zh-CN"/>
        </w:rPr>
      </w:pPr>
      <w:r>
        <w:rPr>
          <w:rFonts w:hint="eastAsia" w:ascii="仿宋_GB2312" w:hAnsi="仿宋_GB2312" w:eastAsia="仿宋_GB2312" w:cs="仿宋_GB2312"/>
          <w:color w:val="auto"/>
          <w:kern w:val="0"/>
          <w:sz w:val="28"/>
          <w:szCs w:val="28"/>
          <w:highlight w:val="none"/>
          <w:lang w:val="en-US" w:eastAsia="zh-CN"/>
        </w:rPr>
        <w:t>（六）各类荣誉/获奖证书盖章单位原则上应为各级党政机关或党团组织。</w:t>
      </w:r>
    </w:p>
    <w:p>
      <w:pPr>
        <w:spacing w:line="560" w:lineRule="exact"/>
        <w:ind w:firstLine="720" w:firstLineChars="200"/>
        <w:rPr>
          <w:rFonts w:hint="eastAsia" w:ascii="仿宋_GB2312" w:hAnsi="仿宋_GB2312" w:eastAsia="仿宋_GB2312" w:cs="仿宋_GB2312"/>
          <w:color w:val="auto"/>
          <w:sz w:val="36"/>
          <w:szCs w:val="36"/>
          <w:highlight w:val="none"/>
        </w:rPr>
      </w:pPr>
    </w:p>
    <w:p>
      <w:pPr>
        <w:spacing w:line="560" w:lineRule="exact"/>
        <w:jc w:val="center"/>
        <w:rPr>
          <w:rFonts w:hint="eastAsia" w:ascii="仿宋_GB2312" w:hAnsi="仿宋_GB2312" w:eastAsia="仿宋_GB2312" w:cs="仿宋_GB2312"/>
          <w:color w:val="auto"/>
          <w:sz w:val="36"/>
          <w:szCs w:val="36"/>
          <w:highlight w:val="none"/>
        </w:rPr>
      </w:pPr>
      <w:r>
        <w:rPr>
          <w:rFonts w:hint="eastAsia" w:ascii="仿宋_GB2312" w:hAnsi="仿宋_GB2312" w:eastAsia="仿宋_GB2312" w:cs="仿宋_GB2312"/>
          <w:b/>
          <w:bCs/>
          <w:color w:val="auto"/>
          <w:sz w:val="32"/>
          <w:szCs w:val="32"/>
          <w:highlight w:val="none"/>
          <w:lang w:val="en-US" w:eastAsia="zh-CN"/>
        </w:rPr>
        <w:t>第六章 附 则</w:t>
      </w:r>
    </w:p>
    <w:p>
      <w:pPr>
        <w:spacing w:line="560" w:lineRule="exact"/>
        <w:ind w:firstLine="562" w:firstLineChars="200"/>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第十一条</w:t>
      </w:r>
      <w:r>
        <w:rPr>
          <w:rFonts w:hint="eastAsia" w:ascii="仿宋_GB2312" w:hAnsi="仿宋_GB2312" w:eastAsia="仿宋_GB2312" w:cs="仿宋_GB2312"/>
          <w:color w:val="auto"/>
          <w:sz w:val="28"/>
          <w:szCs w:val="28"/>
          <w:highlight w:val="none"/>
          <w:lang w:val="en-US" w:eastAsia="zh-CN"/>
        </w:rPr>
        <w:t xml:space="preserve">  本办法原则上每年进行一次修订。在每年9月学业奖学金评定程序完成后，根据评定过程中的实际情况，在新学年第一学期内进行修订，最晚修订时间不得超过新学年第二学期的6月份。</w:t>
      </w:r>
    </w:p>
    <w:p>
      <w:pPr>
        <w:spacing w:line="560" w:lineRule="exact"/>
        <w:ind w:firstLine="562" w:firstLineChars="200"/>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第十二条</w:t>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rPr>
        <w:t>本办法由材料与能源学院党委负责解释。</w:t>
      </w:r>
    </w:p>
    <w:p>
      <w:pPr>
        <w:spacing w:line="560" w:lineRule="exact"/>
        <w:ind w:firstLine="562"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lang w:val="en-US" w:eastAsia="zh-CN"/>
        </w:rPr>
        <w:t>第十三条</w:t>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rPr>
        <w:t>本办法从公布之日起执行，适用于20</w:t>
      </w:r>
      <w:r>
        <w:rPr>
          <w:rFonts w:hint="eastAsia" w:ascii="仿宋_GB2312" w:hAnsi="仿宋_GB2312" w:eastAsia="仿宋_GB2312" w:cs="仿宋_GB2312"/>
          <w:color w:val="auto"/>
          <w:sz w:val="28"/>
          <w:szCs w:val="28"/>
          <w:highlight w:val="none"/>
          <w:lang w:val="en-US" w:eastAsia="zh-CN"/>
        </w:rPr>
        <w:t>21</w:t>
      </w:r>
      <w:r>
        <w:rPr>
          <w:rFonts w:hint="eastAsia" w:ascii="仿宋_GB2312" w:hAnsi="仿宋_GB2312" w:eastAsia="仿宋_GB2312" w:cs="仿宋_GB2312"/>
          <w:color w:val="auto"/>
          <w:sz w:val="28"/>
          <w:szCs w:val="28"/>
          <w:highlight w:val="none"/>
        </w:rPr>
        <w:t>年9月1日后入学的研究生。</w:t>
      </w:r>
    </w:p>
    <w:p>
      <w:pPr>
        <w:spacing w:line="560" w:lineRule="exact"/>
        <w:ind w:firstLine="560" w:firstLineChars="200"/>
        <w:rPr>
          <w:rFonts w:hint="eastAsia" w:ascii="仿宋_GB2312" w:hAnsi="仿宋_GB2312" w:eastAsia="仿宋_GB2312" w:cs="仿宋_GB2312"/>
          <w:color w:val="auto"/>
          <w:sz w:val="28"/>
          <w:szCs w:val="28"/>
          <w:highlight w:val="none"/>
        </w:rPr>
      </w:pPr>
    </w:p>
    <w:p>
      <w:pPr>
        <w:spacing w:line="360" w:lineRule="auto"/>
        <w:jc w:val="right"/>
        <w:rPr>
          <w:rFonts w:hint="eastAsia"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rPr>
        <w:t>华南农业大学材料与能源学院</w:t>
      </w:r>
    </w:p>
    <w:p>
      <w:pPr>
        <w:spacing w:line="360" w:lineRule="auto"/>
        <w:jc w:val="right"/>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二○二</w:t>
      </w:r>
      <w:r>
        <w:rPr>
          <w:rFonts w:hint="eastAsia" w:ascii="仿宋_GB2312" w:hAnsi="仿宋_GB2312" w:eastAsia="仿宋_GB2312" w:cs="仿宋_GB2312"/>
          <w:b w:val="0"/>
          <w:bCs/>
          <w:color w:val="auto"/>
          <w:sz w:val="28"/>
          <w:szCs w:val="28"/>
          <w:highlight w:val="none"/>
          <w:lang w:val="en-US" w:eastAsia="zh-CN"/>
        </w:rPr>
        <w:t>三</w:t>
      </w:r>
      <w:r>
        <w:rPr>
          <w:rFonts w:hint="eastAsia" w:ascii="仿宋_GB2312" w:hAnsi="仿宋_GB2312" w:eastAsia="仿宋_GB2312" w:cs="仿宋_GB2312"/>
          <w:b w:val="0"/>
          <w:bCs/>
          <w:color w:val="auto"/>
          <w:sz w:val="28"/>
          <w:szCs w:val="28"/>
          <w:highlight w:val="none"/>
        </w:rPr>
        <w:t>年</w:t>
      </w:r>
      <w:r>
        <w:rPr>
          <w:rFonts w:hint="eastAsia" w:ascii="仿宋_GB2312" w:hAnsi="仿宋_GB2312" w:eastAsia="仿宋_GB2312" w:cs="仿宋_GB2312"/>
          <w:b w:val="0"/>
          <w:bCs/>
          <w:color w:val="auto"/>
          <w:sz w:val="28"/>
          <w:szCs w:val="28"/>
          <w:highlight w:val="none"/>
          <w:lang w:val="en-US" w:eastAsia="zh-CN"/>
        </w:rPr>
        <w:t>六</w:t>
      </w:r>
      <w:r>
        <w:rPr>
          <w:rFonts w:hint="eastAsia" w:ascii="仿宋_GB2312" w:hAnsi="仿宋_GB2312" w:eastAsia="仿宋_GB2312" w:cs="仿宋_GB2312"/>
          <w:b w:val="0"/>
          <w:bCs/>
          <w:color w:val="auto"/>
          <w:sz w:val="28"/>
          <w:szCs w:val="28"/>
          <w:highlight w:val="none"/>
        </w:rPr>
        <w:t>月</w:t>
      </w:r>
    </w:p>
    <w:p>
      <w:pPr>
        <w:rPr>
          <w:color w:val="auto"/>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宋体" w:hAnsi="宋体" w:eastAsia="宋体" w:cs="宋体"/>
                              <w:sz w:val="28"/>
                              <w:szCs w:val="40"/>
                            </w:rPr>
                          </w:pPr>
                          <w:r>
                            <w:rPr>
                              <w:rFonts w:hint="eastAsia" w:ascii="宋体" w:hAnsi="宋体" w:eastAsia="宋体" w:cs="宋体"/>
                              <w:sz w:val="28"/>
                              <w:szCs w:val="40"/>
                            </w:rPr>
                            <w:fldChar w:fldCharType="begin"/>
                          </w:r>
                          <w:r>
                            <w:rPr>
                              <w:rFonts w:hint="eastAsia" w:ascii="宋体" w:hAnsi="宋体" w:eastAsia="宋体" w:cs="宋体"/>
                              <w:sz w:val="28"/>
                              <w:szCs w:val="40"/>
                            </w:rPr>
                            <w:instrText xml:space="preserve"> PAGE  \* MERGEFORMAT </w:instrText>
                          </w:r>
                          <w:r>
                            <w:rPr>
                              <w:rFonts w:hint="eastAsia" w:ascii="宋体" w:hAnsi="宋体" w:eastAsia="宋体" w:cs="宋体"/>
                              <w:sz w:val="28"/>
                              <w:szCs w:val="40"/>
                            </w:rPr>
                            <w:fldChar w:fldCharType="separate"/>
                          </w:r>
                          <w:r>
                            <w:rPr>
                              <w:rFonts w:hint="eastAsia" w:ascii="宋体" w:hAnsi="宋体" w:eastAsia="宋体" w:cs="宋体"/>
                              <w:sz w:val="28"/>
                              <w:szCs w:val="40"/>
                            </w:rPr>
                            <w:t>1</w:t>
                          </w:r>
                          <w:r>
                            <w:rPr>
                              <w:rFonts w:hint="eastAsia" w:ascii="宋体" w:hAnsi="宋体" w:eastAsia="宋体" w:cs="宋体"/>
                              <w:sz w:val="28"/>
                              <w:szCs w:val="40"/>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ascii="宋体" w:hAnsi="宋体" w:eastAsia="宋体" w:cs="宋体"/>
                        <w:sz w:val="28"/>
                        <w:szCs w:val="40"/>
                      </w:rPr>
                    </w:pPr>
                    <w:r>
                      <w:rPr>
                        <w:rFonts w:hint="eastAsia" w:ascii="宋体" w:hAnsi="宋体" w:eastAsia="宋体" w:cs="宋体"/>
                        <w:sz w:val="28"/>
                        <w:szCs w:val="40"/>
                      </w:rPr>
                      <w:fldChar w:fldCharType="begin"/>
                    </w:r>
                    <w:r>
                      <w:rPr>
                        <w:rFonts w:hint="eastAsia" w:ascii="宋体" w:hAnsi="宋体" w:eastAsia="宋体" w:cs="宋体"/>
                        <w:sz w:val="28"/>
                        <w:szCs w:val="40"/>
                      </w:rPr>
                      <w:instrText xml:space="preserve"> PAGE  \* MERGEFORMAT </w:instrText>
                    </w:r>
                    <w:r>
                      <w:rPr>
                        <w:rFonts w:hint="eastAsia" w:ascii="宋体" w:hAnsi="宋体" w:eastAsia="宋体" w:cs="宋体"/>
                        <w:sz w:val="28"/>
                        <w:szCs w:val="40"/>
                      </w:rPr>
                      <w:fldChar w:fldCharType="separate"/>
                    </w:r>
                    <w:r>
                      <w:rPr>
                        <w:rFonts w:hint="eastAsia" w:ascii="宋体" w:hAnsi="宋体" w:eastAsia="宋体" w:cs="宋体"/>
                        <w:sz w:val="28"/>
                        <w:szCs w:val="40"/>
                      </w:rPr>
                      <w:t>1</w:t>
                    </w:r>
                    <w:r>
                      <w:rPr>
                        <w:rFonts w:hint="eastAsia" w:ascii="宋体" w:hAnsi="宋体" w:eastAsia="宋体" w:cs="宋体"/>
                        <w:sz w:val="28"/>
                        <w:szCs w:val="40"/>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ZlNDcxOTRhYzIyNzg2YmU0ZTI0OTgyZWQ4YjZlNDMifQ=="/>
  </w:docVars>
  <w:rsids>
    <w:rsidRoot w:val="00000000"/>
    <w:rsid w:val="003550AC"/>
    <w:rsid w:val="00665BAD"/>
    <w:rsid w:val="007E63A0"/>
    <w:rsid w:val="00920750"/>
    <w:rsid w:val="0094262F"/>
    <w:rsid w:val="00960F40"/>
    <w:rsid w:val="00B32474"/>
    <w:rsid w:val="00D911D9"/>
    <w:rsid w:val="00FB179F"/>
    <w:rsid w:val="01201286"/>
    <w:rsid w:val="01284C10"/>
    <w:rsid w:val="018F6A3E"/>
    <w:rsid w:val="01D6466C"/>
    <w:rsid w:val="01F70604"/>
    <w:rsid w:val="0204567E"/>
    <w:rsid w:val="025C6078"/>
    <w:rsid w:val="02683256"/>
    <w:rsid w:val="02F57CEF"/>
    <w:rsid w:val="030C64BB"/>
    <w:rsid w:val="031713E0"/>
    <w:rsid w:val="032D29B2"/>
    <w:rsid w:val="03807A87"/>
    <w:rsid w:val="03AA5DB1"/>
    <w:rsid w:val="04180F6C"/>
    <w:rsid w:val="04651CD8"/>
    <w:rsid w:val="046B19E4"/>
    <w:rsid w:val="048605CC"/>
    <w:rsid w:val="05237BC9"/>
    <w:rsid w:val="052D4EEB"/>
    <w:rsid w:val="059A3C03"/>
    <w:rsid w:val="06071298"/>
    <w:rsid w:val="061F2A86"/>
    <w:rsid w:val="0639166E"/>
    <w:rsid w:val="0644429B"/>
    <w:rsid w:val="06D05B2E"/>
    <w:rsid w:val="06DC2725"/>
    <w:rsid w:val="06E23675"/>
    <w:rsid w:val="06F55595"/>
    <w:rsid w:val="070561CA"/>
    <w:rsid w:val="0730481F"/>
    <w:rsid w:val="075E7D90"/>
    <w:rsid w:val="07797F74"/>
    <w:rsid w:val="07B76CEE"/>
    <w:rsid w:val="07BB282E"/>
    <w:rsid w:val="07BE70C4"/>
    <w:rsid w:val="07DB78B7"/>
    <w:rsid w:val="07F10452"/>
    <w:rsid w:val="0807700F"/>
    <w:rsid w:val="08186517"/>
    <w:rsid w:val="081B102B"/>
    <w:rsid w:val="085E2D51"/>
    <w:rsid w:val="08701AF2"/>
    <w:rsid w:val="08752E31"/>
    <w:rsid w:val="08C47915"/>
    <w:rsid w:val="08EC29C7"/>
    <w:rsid w:val="09237B65"/>
    <w:rsid w:val="09815214"/>
    <w:rsid w:val="098F7F23"/>
    <w:rsid w:val="09C55E53"/>
    <w:rsid w:val="09EF6C13"/>
    <w:rsid w:val="0A014251"/>
    <w:rsid w:val="0A5627EE"/>
    <w:rsid w:val="0A876FC3"/>
    <w:rsid w:val="0ADD6A6C"/>
    <w:rsid w:val="0BDF6813"/>
    <w:rsid w:val="0C085D6A"/>
    <w:rsid w:val="0C1A784C"/>
    <w:rsid w:val="0C605BA6"/>
    <w:rsid w:val="0D2766C4"/>
    <w:rsid w:val="0D5F5E5E"/>
    <w:rsid w:val="0DCB34F3"/>
    <w:rsid w:val="0DD26BCA"/>
    <w:rsid w:val="0E10563B"/>
    <w:rsid w:val="0E1704E7"/>
    <w:rsid w:val="0E183946"/>
    <w:rsid w:val="0E653000"/>
    <w:rsid w:val="0E903CEC"/>
    <w:rsid w:val="0EA24254"/>
    <w:rsid w:val="0F340C24"/>
    <w:rsid w:val="0F3B1FB3"/>
    <w:rsid w:val="0F566DED"/>
    <w:rsid w:val="0FBD0C1A"/>
    <w:rsid w:val="0FE16FFE"/>
    <w:rsid w:val="10021B5E"/>
    <w:rsid w:val="1074577C"/>
    <w:rsid w:val="107F4121"/>
    <w:rsid w:val="10CC55B8"/>
    <w:rsid w:val="110034B4"/>
    <w:rsid w:val="11823EC9"/>
    <w:rsid w:val="118F42FD"/>
    <w:rsid w:val="122F22A3"/>
    <w:rsid w:val="12B72988"/>
    <w:rsid w:val="13954387"/>
    <w:rsid w:val="13A33916"/>
    <w:rsid w:val="13A80EA6"/>
    <w:rsid w:val="13AE369B"/>
    <w:rsid w:val="143771ED"/>
    <w:rsid w:val="14496F20"/>
    <w:rsid w:val="144B713C"/>
    <w:rsid w:val="144E4536"/>
    <w:rsid w:val="14757D15"/>
    <w:rsid w:val="14847F58"/>
    <w:rsid w:val="14DF7E73"/>
    <w:rsid w:val="14F41582"/>
    <w:rsid w:val="151C682A"/>
    <w:rsid w:val="15673B02"/>
    <w:rsid w:val="15763D45"/>
    <w:rsid w:val="15A563D8"/>
    <w:rsid w:val="15B11221"/>
    <w:rsid w:val="15C01464"/>
    <w:rsid w:val="15EE7D7F"/>
    <w:rsid w:val="169C5A2D"/>
    <w:rsid w:val="16A14DF1"/>
    <w:rsid w:val="16B014D8"/>
    <w:rsid w:val="17410382"/>
    <w:rsid w:val="177D7243"/>
    <w:rsid w:val="17B648CC"/>
    <w:rsid w:val="17CC2297"/>
    <w:rsid w:val="17EF7DDE"/>
    <w:rsid w:val="183A54FD"/>
    <w:rsid w:val="18B84674"/>
    <w:rsid w:val="18E21EF1"/>
    <w:rsid w:val="18F65AA9"/>
    <w:rsid w:val="194523AC"/>
    <w:rsid w:val="195C4D12"/>
    <w:rsid w:val="19960E59"/>
    <w:rsid w:val="19F65454"/>
    <w:rsid w:val="1A5B175B"/>
    <w:rsid w:val="1A8766C5"/>
    <w:rsid w:val="1ABA0B77"/>
    <w:rsid w:val="1C216DD6"/>
    <w:rsid w:val="1C850D11"/>
    <w:rsid w:val="1CAC629E"/>
    <w:rsid w:val="1CE05FE6"/>
    <w:rsid w:val="1DB96EC4"/>
    <w:rsid w:val="1E59198D"/>
    <w:rsid w:val="1E8D5FBE"/>
    <w:rsid w:val="1F132604"/>
    <w:rsid w:val="1F3C1B5B"/>
    <w:rsid w:val="1F642E60"/>
    <w:rsid w:val="1FB75D16"/>
    <w:rsid w:val="1FC3402A"/>
    <w:rsid w:val="201C0F8A"/>
    <w:rsid w:val="205A3400"/>
    <w:rsid w:val="20A21E92"/>
    <w:rsid w:val="213845A4"/>
    <w:rsid w:val="216E446A"/>
    <w:rsid w:val="219B362A"/>
    <w:rsid w:val="22684A16"/>
    <w:rsid w:val="23B75C54"/>
    <w:rsid w:val="23D305B4"/>
    <w:rsid w:val="23EE53EE"/>
    <w:rsid w:val="24C85992"/>
    <w:rsid w:val="24D6035C"/>
    <w:rsid w:val="250C6474"/>
    <w:rsid w:val="255E0351"/>
    <w:rsid w:val="25A0096A"/>
    <w:rsid w:val="25A536A5"/>
    <w:rsid w:val="25CE3729"/>
    <w:rsid w:val="26301CEE"/>
    <w:rsid w:val="26485289"/>
    <w:rsid w:val="265F6A86"/>
    <w:rsid w:val="266100F9"/>
    <w:rsid w:val="26702AF2"/>
    <w:rsid w:val="267B1511"/>
    <w:rsid w:val="26AA1AA0"/>
    <w:rsid w:val="26C86B64"/>
    <w:rsid w:val="275B0FEC"/>
    <w:rsid w:val="279A1B15"/>
    <w:rsid w:val="28142622"/>
    <w:rsid w:val="28C90BAA"/>
    <w:rsid w:val="28DB23E5"/>
    <w:rsid w:val="29226266"/>
    <w:rsid w:val="2987256D"/>
    <w:rsid w:val="29AA1DB7"/>
    <w:rsid w:val="29B844D4"/>
    <w:rsid w:val="29EF3C6E"/>
    <w:rsid w:val="2A2A5F53"/>
    <w:rsid w:val="2A3A3582"/>
    <w:rsid w:val="2A475858"/>
    <w:rsid w:val="2A5C1303"/>
    <w:rsid w:val="2A6B1546"/>
    <w:rsid w:val="2A9C5BA4"/>
    <w:rsid w:val="2AA50EFC"/>
    <w:rsid w:val="2AC84BEB"/>
    <w:rsid w:val="2B25203D"/>
    <w:rsid w:val="2B2D2CA0"/>
    <w:rsid w:val="2B2D7144"/>
    <w:rsid w:val="2B3202B6"/>
    <w:rsid w:val="2B604E23"/>
    <w:rsid w:val="2B8D373E"/>
    <w:rsid w:val="2BD001FB"/>
    <w:rsid w:val="2BE55328"/>
    <w:rsid w:val="2C3F0EDD"/>
    <w:rsid w:val="2C820DC9"/>
    <w:rsid w:val="2C8B5ED0"/>
    <w:rsid w:val="2C972AC7"/>
    <w:rsid w:val="2CD535EF"/>
    <w:rsid w:val="2CF33A75"/>
    <w:rsid w:val="2D3A16A4"/>
    <w:rsid w:val="2DA835B7"/>
    <w:rsid w:val="2DB9081B"/>
    <w:rsid w:val="2DCC2C44"/>
    <w:rsid w:val="2E6E3CFB"/>
    <w:rsid w:val="2E76670C"/>
    <w:rsid w:val="2EA4771D"/>
    <w:rsid w:val="2EC240EF"/>
    <w:rsid w:val="2EC97183"/>
    <w:rsid w:val="2F397E65"/>
    <w:rsid w:val="2F480B36"/>
    <w:rsid w:val="2FA63021"/>
    <w:rsid w:val="30197C97"/>
    <w:rsid w:val="30406FD1"/>
    <w:rsid w:val="305111DE"/>
    <w:rsid w:val="30E20088"/>
    <w:rsid w:val="30E46D78"/>
    <w:rsid w:val="31375D8A"/>
    <w:rsid w:val="317B4F33"/>
    <w:rsid w:val="318A2BFA"/>
    <w:rsid w:val="3203475A"/>
    <w:rsid w:val="3216623C"/>
    <w:rsid w:val="326C17EB"/>
    <w:rsid w:val="32AF043E"/>
    <w:rsid w:val="331756AB"/>
    <w:rsid w:val="331D184C"/>
    <w:rsid w:val="33552D94"/>
    <w:rsid w:val="33843679"/>
    <w:rsid w:val="338D342B"/>
    <w:rsid w:val="34670FD0"/>
    <w:rsid w:val="346A0AC1"/>
    <w:rsid w:val="34805682"/>
    <w:rsid w:val="348E47AF"/>
    <w:rsid w:val="349342B9"/>
    <w:rsid w:val="34A2025B"/>
    <w:rsid w:val="34C351F9"/>
    <w:rsid w:val="34C77CC1"/>
    <w:rsid w:val="34CC52D7"/>
    <w:rsid w:val="34E17895"/>
    <w:rsid w:val="355377A7"/>
    <w:rsid w:val="35702107"/>
    <w:rsid w:val="359E6597"/>
    <w:rsid w:val="35D00DF7"/>
    <w:rsid w:val="35F72CAE"/>
    <w:rsid w:val="36146F36"/>
    <w:rsid w:val="36211A6C"/>
    <w:rsid w:val="36C46BAE"/>
    <w:rsid w:val="37105528"/>
    <w:rsid w:val="37386C54"/>
    <w:rsid w:val="37C127A2"/>
    <w:rsid w:val="386677F1"/>
    <w:rsid w:val="397B107A"/>
    <w:rsid w:val="399C171C"/>
    <w:rsid w:val="39E44E71"/>
    <w:rsid w:val="3A06303A"/>
    <w:rsid w:val="3A5C3925"/>
    <w:rsid w:val="3AE350A8"/>
    <w:rsid w:val="3B820DE6"/>
    <w:rsid w:val="3B8701AA"/>
    <w:rsid w:val="3BF84C04"/>
    <w:rsid w:val="3C522566"/>
    <w:rsid w:val="3C8F5568"/>
    <w:rsid w:val="3C9708C1"/>
    <w:rsid w:val="3CC86CCC"/>
    <w:rsid w:val="3CD13DD3"/>
    <w:rsid w:val="3D2444C4"/>
    <w:rsid w:val="3D5B544A"/>
    <w:rsid w:val="3DBB238D"/>
    <w:rsid w:val="3DC70D32"/>
    <w:rsid w:val="3E3068D7"/>
    <w:rsid w:val="3E35213F"/>
    <w:rsid w:val="3E5F540E"/>
    <w:rsid w:val="3ED125C6"/>
    <w:rsid w:val="3EE069EC"/>
    <w:rsid w:val="3EE17BD1"/>
    <w:rsid w:val="3FD80FD4"/>
    <w:rsid w:val="40152228"/>
    <w:rsid w:val="403A1C8F"/>
    <w:rsid w:val="404B79F8"/>
    <w:rsid w:val="406C796F"/>
    <w:rsid w:val="40A8309D"/>
    <w:rsid w:val="413C37E5"/>
    <w:rsid w:val="413E130B"/>
    <w:rsid w:val="41540B2E"/>
    <w:rsid w:val="415F37D2"/>
    <w:rsid w:val="41C31810"/>
    <w:rsid w:val="41DF489C"/>
    <w:rsid w:val="41E023C2"/>
    <w:rsid w:val="425B7C9B"/>
    <w:rsid w:val="42701998"/>
    <w:rsid w:val="431247FD"/>
    <w:rsid w:val="43291B47"/>
    <w:rsid w:val="432D1637"/>
    <w:rsid w:val="436F39FE"/>
    <w:rsid w:val="43EA7528"/>
    <w:rsid w:val="43F73405"/>
    <w:rsid w:val="44067BA0"/>
    <w:rsid w:val="44213794"/>
    <w:rsid w:val="4439400C"/>
    <w:rsid w:val="44776E8B"/>
    <w:rsid w:val="44966D53"/>
    <w:rsid w:val="449F0313"/>
    <w:rsid w:val="44A66286"/>
    <w:rsid w:val="450258C5"/>
    <w:rsid w:val="4508410A"/>
    <w:rsid w:val="45912351"/>
    <w:rsid w:val="45A51959"/>
    <w:rsid w:val="45D27138"/>
    <w:rsid w:val="4611292A"/>
    <w:rsid w:val="46244F73"/>
    <w:rsid w:val="46476EB4"/>
    <w:rsid w:val="465A44EE"/>
    <w:rsid w:val="467632F5"/>
    <w:rsid w:val="4685178A"/>
    <w:rsid w:val="46C978C9"/>
    <w:rsid w:val="46DD3374"/>
    <w:rsid w:val="47046B53"/>
    <w:rsid w:val="473A3AA7"/>
    <w:rsid w:val="47DB5B06"/>
    <w:rsid w:val="47EE3067"/>
    <w:rsid w:val="480C5CBF"/>
    <w:rsid w:val="483D0361"/>
    <w:rsid w:val="483E6094"/>
    <w:rsid w:val="48BD578B"/>
    <w:rsid w:val="48BF5427"/>
    <w:rsid w:val="493F58E2"/>
    <w:rsid w:val="494E5881"/>
    <w:rsid w:val="4A527BD5"/>
    <w:rsid w:val="4A804742"/>
    <w:rsid w:val="4AAE1013"/>
    <w:rsid w:val="4AB83EDC"/>
    <w:rsid w:val="4AC40AD3"/>
    <w:rsid w:val="4B1650A7"/>
    <w:rsid w:val="4B83273C"/>
    <w:rsid w:val="4B840262"/>
    <w:rsid w:val="4BB13749"/>
    <w:rsid w:val="4BB46D99"/>
    <w:rsid w:val="4BD27220"/>
    <w:rsid w:val="4C0F5D7E"/>
    <w:rsid w:val="4C4F0870"/>
    <w:rsid w:val="4C5E4F57"/>
    <w:rsid w:val="4D64034B"/>
    <w:rsid w:val="4EE02FF7"/>
    <w:rsid w:val="4F0B7F86"/>
    <w:rsid w:val="4F337FD5"/>
    <w:rsid w:val="4F55367B"/>
    <w:rsid w:val="4FDD6193"/>
    <w:rsid w:val="50E377D9"/>
    <w:rsid w:val="51234079"/>
    <w:rsid w:val="512C2F2E"/>
    <w:rsid w:val="51327060"/>
    <w:rsid w:val="51E952C3"/>
    <w:rsid w:val="51F71168"/>
    <w:rsid w:val="52E63A37"/>
    <w:rsid w:val="537806AC"/>
    <w:rsid w:val="540208BE"/>
    <w:rsid w:val="54065CB8"/>
    <w:rsid w:val="543F566E"/>
    <w:rsid w:val="54420CBA"/>
    <w:rsid w:val="546B3D3A"/>
    <w:rsid w:val="54B5148C"/>
    <w:rsid w:val="54CE6E3B"/>
    <w:rsid w:val="54DE09E3"/>
    <w:rsid w:val="55217628"/>
    <w:rsid w:val="55286102"/>
    <w:rsid w:val="55480552"/>
    <w:rsid w:val="55AF3B96"/>
    <w:rsid w:val="5637484F"/>
    <w:rsid w:val="56FD62C9"/>
    <w:rsid w:val="589F66DB"/>
    <w:rsid w:val="58AC2BA6"/>
    <w:rsid w:val="59352B9C"/>
    <w:rsid w:val="597E2795"/>
    <w:rsid w:val="5988716F"/>
    <w:rsid w:val="59C06909"/>
    <w:rsid w:val="59CA7788"/>
    <w:rsid w:val="5A04713E"/>
    <w:rsid w:val="5A0C7DA1"/>
    <w:rsid w:val="5A94467D"/>
    <w:rsid w:val="5AE20B01"/>
    <w:rsid w:val="5AF2343A"/>
    <w:rsid w:val="5AFA763F"/>
    <w:rsid w:val="5B174C4F"/>
    <w:rsid w:val="5B82585F"/>
    <w:rsid w:val="5C180C7F"/>
    <w:rsid w:val="5C245875"/>
    <w:rsid w:val="5C531CB7"/>
    <w:rsid w:val="5D127B61"/>
    <w:rsid w:val="5F1C2834"/>
    <w:rsid w:val="5F4973A1"/>
    <w:rsid w:val="5F506981"/>
    <w:rsid w:val="5FC03B07"/>
    <w:rsid w:val="5FDE5D3B"/>
    <w:rsid w:val="60C90799"/>
    <w:rsid w:val="60D224EF"/>
    <w:rsid w:val="60E05AE3"/>
    <w:rsid w:val="60FD0443"/>
    <w:rsid w:val="61135EB8"/>
    <w:rsid w:val="61A3363B"/>
    <w:rsid w:val="61B81661"/>
    <w:rsid w:val="61F950AE"/>
    <w:rsid w:val="623460E6"/>
    <w:rsid w:val="631A2FE1"/>
    <w:rsid w:val="636429FB"/>
    <w:rsid w:val="636522D0"/>
    <w:rsid w:val="64045FBB"/>
    <w:rsid w:val="64467711"/>
    <w:rsid w:val="64850E7B"/>
    <w:rsid w:val="64852C29"/>
    <w:rsid w:val="653A7EB8"/>
    <w:rsid w:val="657C5397"/>
    <w:rsid w:val="65A2780B"/>
    <w:rsid w:val="663014BE"/>
    <w:rsid w:val="66383CCB"/>
    <w:rsid w:val="67FA1B80"/>
    <w:rsid w:val="68150768"/>
    <w:rsid w:val="686B482C"/>
    <w:rsid w:val="68784853"/>
    <w:rsid w:val="68792AA5"/>
    <w:rsid w:val="687A05CB"/>
    <w:rsid w:val="68AB177D"/>
    <w:rsid w:val="68C006D4"/>
    <w:rsid w:val="691431CB"/>
    <w:rsid w:val="69146C72"/>
    <w:rsid w:val="69390486"/>
    <w:rsid w:val="69653029"/>
    <w:rsid w:val="697A2F79"/>
    <w:rsid w:val="69BE2739"/>
    <w:rsid w:val="69C2047C"/>
    <w:rsid w:val="69EC72A7"/>
    <w:rsid w:val="69F148BD"/>
    <w:rsid w:val="6A18009C"/>
    <w:rsid w:val="6A3C35D9"/>
    <w:rsid w:val="6A763A04"/>
    <w:rsid w:val="6A9811DC"/>
    <w:rsid w:val="6AB46016"/>
    <w:rsid w:val="6AF26B3F"/>
    <w:rsid w:val="6B96396E"/>
    <w:rsid w:val="6BC26511"/>
    <w:rsid w:val="6BF46FFD"/>
    <w:rsid w:val="6CBC7404"/>
    <w:rsid w:val="6CE77FFE"/>
    <w:rsid w:val="6D394EF9"/>
    <w:rsid w:val="6E2E7E8E"/>
    <w:rsid w:val="6E3B3E98"/>
    <w:rsid w:val="6E9248C1"/>
    <w:rsid w:val="6EF2710D"/>
    <w:rsid w:val="6F437969"/>
    <w:rsid w:val="6F4D07E7"/>
    <w:rsid w:val="6F5222A2"/>
    <w:rsid w:val="6F5A4CB2"/>
    <w:rsid w:val="6F6873CF"/>
    <w:rsid w:val="6F9401C4"/>
    <w:rsid w:val="6FAF63D0"/>
    <w:rsid w:val="7013090D"/>
    <w:rsid w:val="70256086"/>
    <w:rsid w:val="70ED71AD"/>
    <w:rsid w:val="70F01D72"/>
    <w:rsid w:val="7144013A"/>
    <w:rsid w:val="71445C1A"/>
    <w:rsid w:val="716076B4"/>
    <w:rsid w:val="71F72585"/>
    <w:rsid w:val="71F85B6D"/>
    <w:rsid w:val="72AE5A41"/>
    <w:rsid w:val="72B03567"/>
    <w:rsid w:val="72B50B7E"/>
    <w:rsid w:val="736D76AA"/>
    <w:rsid w:val="73781BAB"/>
    <w:rsid w:val="738D5656"/>
    <w:rsid w:val="73911760"/>
    <w:rsid w:val="73D2750D"/>
    <w:rsid w:val="74100036"/>
    <w:rsid w:val="742835D1"/>
    <w:rsid w:val="74822CE1"/>
    <w:rsid w:val="74B9247B"/>
    <w:rsid w:val="758E5900"/>
    <w:rsid w:val="759233F8"/>
    <w:rsid w:val="759C7DD3"/>
    <w:rsid w:val="75B12C7B"/>
    <w:rsid w:val="76053BCA"/>
    <w:rsid w:val="76120095"/>
    <w:rsid w:val="761E4C8C"/>
    <w:rsid w:val="769B008A"/>
    <w:rsid w:val="76B32585"/>
    <w:rsid w:val="76DB0DCF"/>
    <w:rsid w:val="77585F7B"/>
    <w:rsid w:val="777D1E86"/>
    <w:rsid w:val="778154D2"/>
    <w:rsid w:val="77A2369A"/>
    <w:rsid w:val="77AE0291"/>
    <w:rsid w:val="78A0407E"/>
    <w:rsid w:val="78BD078C"/>
    <w:rsid w:val="79652BD2"/>
    <w:rsid w:val="7997035E"/>
    <w:rsid w:val="79F755A5"/>
    <w:rsid w:val="7A0B0573"/>
    <w:rsid w:val="7A0D74F1"/>
    <w:rsid w:val="7A41363F"/>
    <w:rsid w:val="7ACB4CB6"/>
    <w:rsid w:val="7AF75AAB"/>
    <w:rsid w:val="7B09415C"/>
    <w:rsid w:val="7B3135F0"/>
    <w:rsid w:val="7B521A68"/>
    <w:rsid w:val="7BE10C35"/>
    <w:rsid w:val="7C2D79D7"/>
    <w:rsid w:val="7C7E0232"/>
    <w:rsid w:val="7C8617DD"/>
    <w:rsid w:val="7D690EE2"/>
    <w:rsid w:val="7D6C09D3"/>
    <w:rsid w:val="7DAE4B47"/>
    <w:rsid w:val="7DEC566F"/>
    <w:rsid w:val="7DEE13E8"/>
    <w:rsid w:val="7E2968C4"/>
    <w:rsid w:val="7E2C5EC1"/>
    <w:rsid w:val="7E861620"/>
    <w:rsid w:val="7F1A66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3798</Words>
  <Characters>3936</Characters>
  <Lines>0</Lines>
  <Paragraphs>0</Paragraphs>
  <TotalTime>9</TotalTime>
  <ScaleCrop>false</ScaleCrop>
  <LinksUpToDate>false</LinksUpToDate>
  <CharactersWithSpaces>3982</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2023-04-25T11:26:00Z</dcterms:created>
  <dc:creator>Administrator</dc:creator>
  <cp:lastModifiedBy>Administrator</cp:lastModifiedBy>
  <dcterms:modified xsi:type="dcterms:W3CDTF">2023-06-14T02:10:48Z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992D239ECA784C7A8301AE8BB927A220</vt:lpwstr>
  </property>
</Properties>
</file>