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F55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b/>
          <w:sz w:val="28"/>
          <w:szCs w:val="28"/>
        </w:rPr>
        <w:t>2026届本科生毕业论文（设计）工作安排表</w:t>
      </w:r>
    </w:p>
    <w:tbl>
      <w:tblPr>
        <w:tblStyle w:val="7"/>
        <w:tblW w:w="137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85"/>
        <w:gridCol w:w="2344"/>
        <w:gridCol w:w="6328"/>
      </w:tblGrid>
      <w:tr w14:paraId="3836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5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71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41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6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90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注意事项</w:t>
            </w:r>
          </w:p>
        </w:tc>
      </w:tr>
      <w:tr w14:paraId="5F1B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25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毕业论文（设计）开题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FFC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5E39">
            <w:pPr>
              <w:widowControl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2025年11月30日前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892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建议在确定指导教师和学生之后，毕业论文（设计）选题由各学院管理员导入系统，题目师生可自行修改。</w:t>
            </w:r>
          </w:p>
        </w:tc>
      </w:tr>
      <w:tr w14:paraId="77FE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D4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5C7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指导教师下达任务书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C2FD">
            <w:pPr>
              <w:widowControl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2025年12月30日前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116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指导教师在系统中提交任务书。</w:t>
            </w:r>
          </w:p>
        </w:tc>
      </w:tr>
      <w:tr w14:paraId="1FB3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E9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F86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学生完成开题报告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CDDF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2026年3月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D10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学生在系统中提交开题报告。</w:t>
            </w:r>
          </w:p>
        </w:tc>
      </w:tr>
      <w:tr w14:paraId="3F66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52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毕业论文（设计）撰写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DEA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撰写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B256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学院自定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8F3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教师指导学生撰写毕业论文（设计）。</w:t>
            </w:r>
          </w:p>
        </w:tc>
      </w:tr>
      <w:tr w14:paraId="0499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92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FD95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中期检查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27D3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月3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BCA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教师在系统中提交中期检查表。</w:t>
            </w:r>
          </w:p>
        </w:tc>
      </w:tr>
      <w:tr w14:paraId="0B8C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CB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8B1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相似性检测、格式规范检测、A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IGC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检测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76C1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2026年5月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8097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每篇毕业论文（设计）原则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可以进行相似性检测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次，如第一次检测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没通过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可申请进行第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二次检测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；可进行格式规范检测、A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IGC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检测各1次，具体事项另行通知。</w:t>
            </w:r>
          </w:p>
        </w:tc>
      </w:tr>
      <w:tr w14:paraId="043A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2F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毕业论文（设计）成绩评定与答辩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2FA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指导教师评分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3EBC">
            <w:pPr>
              <w:widowControl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2025年5月10日前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920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一般指导教师评分占40%，评阅教师评分占30%，论文答辩成绩占30%；学院可以根据专业特点提出申请修改各部分成绩比例。</w:t>
            </w:r>
          </w:p>
        </w:tc>
      </w:tr>
      <w:tr w14:paraId="4FA1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77D8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E41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评阅教师评分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E2D4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2025年5月10日前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B9C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各专业负责人或者指导教师设置论文评阅教师。</w:t>
            </w:r>
          </w:p>
        </w:tc>
      </w:tr>
      <w:tr w14:paraId="41AA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456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B25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6EEA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2025年5月10日前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0EA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各专业负责人在系统中设置答辩小组，添加答辩教师和答辩学生，答辩秘书在系统中录入答辩记录和答辩成绩。</w:t>
            </w:r>
          </w:p>
        </w:tc>
      </w:tr>
      <w:tr w14:paraId="2A8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3C7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6782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成绩录入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D5B8">
            <w:pPr>
              <w:widowControl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2026年5月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D87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学院管理员发布成绩，学生查看毕业论文（设计）成绩。</w:t>
            </w:r>
          </w:p>
        </w:tc>
      </w:tr>
      <w:tr w14:paraId="337F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CE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毕业论文（设计）校级抽检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1537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学校抽检材料报送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C8B5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2026年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月1日前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868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学校在各专业按比例抽取毕业论文（设计），送校外专家评审。具体事项另行通知。</w:t>
            </w:r>
          </w:p>
        </w:tc>
      </w:tr>
      <w:tr w14:paraId="4678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52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毕业论文（设计）归档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0A5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材料整理归档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AF95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2026年6月15日前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D58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各学院将系统中的毕业论文（设计）所有资料核对、补充完整，并将相关资料整理归档。</w:t>
            </w:r>
          </w:p>
        </w:tc>
      </w:tr>
      <w:tr w14:paraId="05A60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7D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学位授予信息毕业论文（设计）字段数据报送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980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学位论文（设计）信息报送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244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2026年6月中下旬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56F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各字段信息应与毕业论文（设计）定稿一致,确保完整与准确；“论文题目”“论文关键词”“论文研究方向”三个字段不能两两完全相同；最终报送信息应与报送到教育部本科毕业论文（设计）抽检平台的信息一致。具体要求以上级部门通知为准。</w:t>
            </w:r>
          </w:p>
        </w:tc>
      </w:tr>
      <w:tr w14:paraId="0A24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9EA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毕业论文（设计）省级抽检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54FF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广东省抽检材料报送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A808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2026年9月</w:t>
            </w:r>
          </w:p>
        </w:tc>
        <w:tc>
          <w:tcPr>
            <w:tcW w:w="6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1C3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具体要求以上级部门通知为准。</w:t>
            </w:r>
          </w:p>
        </w:tc>
      </w:tr>
    </w:tbl>
    <w:p w14:paraId="282436E8">
      <w:pPr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NDNkYzk4ZDk1ODRlZDE4YWZlNzQxOTYyZWEyNGEifQ=="/>
  </w:docVars>
  <w:rsids>
    <w:rsidRoot w:val="003122A0"/>
    <w:rsid w:val="00001E3E"/>
    <w:rsid w:val="00014BE4"/>
    <w:rsid w:val="00062DD1"/>
    <w:rsid w:val="000F0A65"/>
    <w:rsid w:val="00100BE4"/>
    <w:rsid w:val="001248D7"/>
    <w:rsid w:val="001656C3"/>
    <w:rsid w:val="002244F1"/>
    <w:rsid w:val="002261CC"/>
    <w:rsid w:val="00263820"/>
    <w:rsid w:val="00276DCD"/>
    <w:rsid w:val="00280496"/>
    <w:rsid w:val="002E57D5"/>
    <w:rsid w:val="003122A0"/>
    <w:rsid w:val="003A682C"/>
    <w:rsid w:val="003E1B00"/>
    <w:rsid w:val="003F027F"/>
    <w:rsid w:val="00402FA0"/>
    <w:rsid w:val="0042281E"/>
    <w:rsid w:val="00437884"/>
    <w:rsid w:val="004446EC"/>
    <w:rsid w:val="00450BF1"/>
    <w:rsid w:val="00460BAA"/>
    <w:rsid w:val="0046103F"/>
    <w:rsid w:val="00473DF7"/>
    <w:rsid w:val="004A720B"/>
    <w:rsid w:val="004C3483"/>
    <w:rsid w:val="00513215"/>
    <w:rsid w:val="005174D1"/>
    <w:rsid w:val="00525A07"/>
    <w:rsid w:val="005A1710"/>
    <w:rsid w:val="005B2ECD"/>
    <w:rsid w:val="005D163C"/>
    <w:rsid w:val="005E017D"/>
    <w:rsid w:val="005E29AB"/>
    <w:rsid w:val="00637E4B"/>
    <w:rsid w:val="00647CF6"/>
    <w:rsid w:val="006A2250"/>
    <w:rsid w:val="006C05CD"/>
    <w:rsid w:val="006C66A9"/>
    <w:rsid w:val="00736808"/>
    <w:rsid w:val="00742CAF"/>
    <w:rsid w:val="0075748E"/>
    <w:rsid w:val="00757BD6"/>
    <w:rsid w:val="00777934"/>
    <w:rsid w:val="007950CA"/>
    <w:rsid w:val="00795D1E"/>
    <w:rsid w:val="007B7CA3"/>
    <w:rsid w:val="007D79A1"/>
    <w:rsid w:val="00800C42"/>
    <w:rsid w:val="0083564C"/>
    <w:rsid w:val="00937FDC"/>
    <w:rsid w:val="00951650"/>
    <w:rsid w:val="00990B4A"/>
    <w:rsid w:val="009A49AA"/>
    <w:rsid w:val="009C41CA"/>
    <w:rsid w:val="009C4E1B"/>
    <w:rsid w:val="009E417A"/>
    <w:rsid w:val="00A34326"/>
    <w:rsid w:val="00A64AEE"/>
    <w:rsid w:val="00A72955"/>
    <w:rsid w:val="00A95365"/>
    <w:rsid w:val="00AD71B6"/>
    <w:rsid w:val="00B03E9C"/>
    <w:rsid w:val="00BB0415"/>
    <w:rsid w:val="00BE16EC"/>
    <w:rsid w:val="00BF2139"/>
    <w:rsid w:val="00C65B3A"/>
    <w:rsid w:val="00C8441E"/>
    <w:rsid w:val="00CD7D3D"/>
    <w:rsid w:val="00D624C2"/>
    <w:rsid w:val="00D626FD"/>
    <w:rsid w:val="00DB5AC4"/>
    <w:rsid w:val="00DC4E31"/>
    <w:rsid w:val="00E70E29"/>
    <w:rsid w:val="00EB0749"/>
    <w:rsid w:val="00F12CE2"/>
    <w:rsid w:val="00F3430D"/>
    <w:rsid w:val="00F52BC8"/>
    <w:rsid w:val="00F800E9"/>
    <w:rsid w:val="00F86031"/>
    <w:rsid w:val="00F974C3"/>
    <w:rsid w:val="00FE33D0"/>
    <w:rsid w:val="194E7B84"/>
    <w:rsid w:val="67164450"/>
    <w:rsid w:val="764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6C52-7BAF-491D-9E2E-6378B0B73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scau</Company>
  <Pages>2</Pages>
  <Words>818</Words>
  <Characters>859</Characters>
  <Lines>6</Lines>
  <Paragraphs>1</Paragraphs>
  <TotalTime>2</TotalTime>
  <ScaleCrop>false</ScaleCrop>
  <LinksUpToDate>false</LinksUpToDate>
  <CharactersWithSpaces>882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2025-11-25T08:33:00Z</dcterms:created>
  <dc:creator>黄石</dc:creator>
  <cp:lastModifiedBy>张芳</cp:lastModifiedBy>
  <dcterms:modified xsi:type="dcterms:W3CDTF">2025-12-23T00:45:38Z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FD87F14FC72F4E8696C4D2DE90EF121B_12</vt:lpwstr>
  </property>
  <property fmtid="{D5CDD505-2E9C-101B-9397-08002B2CF9AE}" pid="4" name="KSOTemplateDocerSaveRecord">
    <vt:lpwstr>eyJoZGlkIjoiMjEyNTE3YmE0ZjQyY2M4MmZmZGY4MjI1NTExNjAyMDIiLCJ1c2VySWQiOiIxNjY1MDY0NDQwIn0=</vt:lpwstr>
  </property>
</Properties>
</file>